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9.0.0 -->
  <w:body>
    <w:p>
      <w:bookmarkStart w:id="0" w:name="_GoBack"/>
      <w:bookmarkEnd w:id="0"/>
    </w:p>
    <w:p/>
    <w:p>
      <w:pPr>
        <w:jc w:val="center"/>
        <w:rPr>
          <w:b/>
          <w:sz w:val="84"/>
          <w:szCs w:val="84"/>
        </w:rPr>
      </w:pPr>
    </w:p>
    <w:p>
      <w:pPr>
        <w:jc w:val="center"/>
        <w:rPr>
          <w:b/>
          <w:sz w:val="84"/>
          <w:szCs w:val="84"/>
        </w:rPr>
      </w:pPr>
    </w:p>
    <w:p>
      <w:pPr>
        <w:jc w:val="center"/>
        <w:rPr>
          <w:b/>
          <w:sz w:val="84"/>
          <w:szCs w:val="84"/>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（服务类）</w:t>
      </w:r>
    </w:p>
    <w:p/>
    <w:p/>
    <w:p/>
    <w:p/>
    <w:p/>
    <w:p/>
    <w:p/>
    <w:p/>
    <w:p/>
    <w:p/>
    <w:p/>
    <w:p/>
    <w:p>
      <w:pPr>
        <w:jc w:val="center"/>
        <w:rPr>
          <w:b/>
          <w:sz w:val="44"/>
          <w:szCs w:val="44"/>
        </w:rPr>
      </w:pPr>
      <w:bookmarkStart w:id="1" w:name="_Hlk71465316"/>
      <w:r>
        <w:rPr>
          <w:rFonts w:hint="eastAsia"/>
          <w:b/>
          <w:sz w:val="44"/>
          <w:szCs w:val="44"/>
        </w:rPr>
        <w:t>深圳公共资源交易中心</w:t>
      </w:r>
      <w:bookmarkEnd w:id="1"/>
    </w:p>
    <w:p>
      <w:pPr>
        <w:jc w:val="center"/>
        <w:outlineLvl w:val="0"/>
        <w:rPr>
          <w:b/>
          <w:color w:val="FF0000"/>
          <w:sz w:val="52"/>
          <w:szCs w:val="52"/>
        </w:rPr>
      </w:pPr>
      <w:r>
        <w:br w:type="page"/>
      </w:r>
      <w:r>
        <w:rPr>
          <w:rFonts w:hint="eastAsia"/>
          <w:b/>
          <w:color w:val="FF0000"/>
          <w:sz w:val="52"/>
          <w:szCs w:val="52"/>
        </w:rPr>
        <w:t>警示条款</w:t>
      </w:r>
    </w:p>
    <w:p>
      <w:pPr>
        <w:rPr>
          <w:rFonts w:ascii="宋体" w:eastAsia="宋体" w:hAnsi="宋体"/>
          <w:b/>
          <w:color w:val="FF0000"/>
          <w:szCs w:val="21"/>
        </w:rPr>
      </w:pPr>
      <w:r>
        <w:rPr>
          <w:rFonts w:ascii="宋体" w:eastAsia="宋体" w:hAnsi="宋体" w:hint="eastAsia"/>
          <w:b/>
          <w:color w:val="FF0000"/>
          <w:szCs w:val="21"/>
        </w:rPr>
        <w:t>《深圳经济特区政府采购条例》</w:t>
      </w:r>
    </w:p>
    <w:p>
      <w:pPr>
        <w:ind w:firstLine="420" w:firstLineChars="200"/>
        <w:rPr>
          <w:rFonts w:ascii="宋体" w:eastAsia="宋体" w:hAnsi="宋体"/>
          <w:color w:val="FF0000"/>
          <w:szCs w:val="21"/>
        </w:rPr>
      </w:pPr>
      <w:r>
        <w:rPr>
          <w:rFonts w:ascii="宋体" w:eastAsia="宋体" w:hAnsi="宋体" w:hint="eastAsia"/>
          <w:b/>
          <w:color w:val="FF0000"/>
          <w:szCs w:val="21"/>
        </w:rPr>
        <w:t>第五十七条</w:t>
      </w:r>
      <w:r>
        <w:rPr>
          <w:rFonts w:ascii="宋体" w:eastAsia="宋体" w:hAnsi="宋体" w:hint="eastAsia"/>
          <w:color w:val="FF0000"/>
          <w:szCs w:val="21"/>
        </w:rPr>
        <w:t>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rPr>
          <w:rFonts w:ascii="宋体" w:eastAsia="宋体" w:hAnsi="宋体"/>
          <w:color w:val="FF0000"/>
          <w:szCs w:val="21"/>
        </w:rPr>
      </w:pPr>
      <w:r>
        <w:rPr>
          <w:rFonts w:ascii="宋体" w:eastAsia="宋体" w:hAnsi="宋体" w:hint="eastAsia"/>
          <w:color w:val="FF0000"/>
          <w:szCs w:val="21"/>
        </w:rPr>
        <w:t>　　（一）在采购活动中应当回避而未回避的；</w:t>
      </w:r>
    </w:p>
    <w:p>
      <w:pPr>
        <w:rPr>
          <w:rFonts w:ascii="宋体" w:eastAsia="宋体" w:hAnsi="宋体"/>
          <w:color w:val="FF0000"/>
          <w:szCs w:val="21"/>
        </w:rPr>
      </w:pPr>
      <w:r>
        <w:rPr>
          <w:rFonts w:ascii="宋体" w:eastAsia="宋体" w:hAnsi="宋体" w:hint="eastAsia"/>
          <w:color w:val="FF0000"/>
          <w:szCs w:val="21"/>
        </w:rPr>
        <w:t>　　（二）未按照本条例规定签订、履行采购合同，造成严重后果的；</w:t>
      </w:r>
    </w:p>
    <w:p>
      <w:pPr>
        <w:rPr>
          <w:rFonts w:ascii="宋体" w:eastAsia="宋体" w:hAnsi="宋体"/>
          <w:color w:val="FF0000"/>
          <w:szCs w:val="21"/>
        </w:rPr>
      </w:pPr>
      <w:r>
        <w:rPr>
          <w:rFonts w:ascii="宋体" w:eastAsia="宋体" w:hAnsi="宋体" w:hint="eastAsia"/>
          <w:color w:val="FF0000"/>
          <w:szCs w:val="21"/>
        </w:rPr>
        <w:t>　　（三）隐瞒真实情况，提供虚假资料的；</w:t>
      </w:r>
    </w:p>
    <w:p>
      <w:pPr>
        <w:rPr>
          <w:rFonts w:ascii="宋体" w:eastAsia="宋体" w:hAnsi="宋体"/>
          <w:color w:val="FF0000"/>
          <w:szCs w:val="21"/>
        </w:rPr>
      </w:pPr>
      <w:r>
        <w:rPr>
          <w:rFonts w:ascii="宋体" w:eastAsia="宋体" w:hAnsi="宋体" w:hint="eastAsia"/>
          <w:color w:val="FF0000"/>
          <w:szCs w:val="21"/>
        </w:rPr>
        <w:t>　　（四）以非法手段排斥其他供应商参与竞争的；</w:t>
      </w:r>
    </w:p>
    <w:p>
      <w:pPr>
        <w:rPr>
          <w:rFonts w:ascii="宋体" w:eastAsia="宋体" w:hAnsi="宋体"/>
          <w:color w:val="FF0000"/>
          <w:szCs w:val="21"/>
        </w:rPr>
      </w:pPr>
      <w:r>
        <w:rPr>
          <w:rFonts w:ascii="宋体" w:eastAsia="宋体" w:hAnsi="宋体" w:hint="eastAsia"/>
          <w:color w:val="FF0000"/>
          <w:szCs w:val="21"/>
        </w:rPr>
        <w:t>　　（五）与其他采购参加人串通投标的；</w:t>
      </w:r>
    </w:p>
    <w:p>
      <w:pPr>
        <w:rPr>
          <w:rFonts w:ascii="宋体" w:eastAsia="宋体" w:hAnsi="宋体"/>
          <w:color w:val="FF0000"/>
          <w:szCs w:val="21"/>
        </w:rPr>
      </w:pPr>
      <w:r>
        <w:rPr>
          <w:rFonts w:ascii="宋体" w:eastAsia="宋体" w:hAnsi="宋体" w:hint="eastAsia"/>
          <w:color w:val="FF0000"/>
          <w:szCs w:val="21"/>
        </w:rPr>
        <w:t>　　（六）恶意投诉的；</w:t>
      </w:r>
    </w:p>
    <w:p>
      <w:pPr>
        <w:rPr>
          <w:rFonts w:ascii="宋体" w:eastAsia="宋体" w:hAnsi="宋体"/>
          <w:color w:val="FF0000"/>
          <w:szCs w:val="21"/>
        </w:rPr>
      </w:pPr>
      <w:r>
        <w:rPr>
          <w:rFonts w:ascii="宋体" w:eastAsia="宋体" w:hAnsi="宋体" w:hint="eastAsia"/>
          <w:color w:val="FF0000"/>
          <w:szCs w:val="21"/>
        </w:rPr>
        <w:t>　　（七）向采购项目相关人行贿或者提供其他不当利益的；</w:t>
      </w:r>
    </w:p>
    <w:p>
      <w:pPr>
        <w:rPr>
          <w:rFonts w:ascii="宋体" w:eastAsia="宋体" w:hAnsi="宋体"/>
          <w:color w:val="FF0000"/>
          <w:szCs w:val="21"/>
        </w:rPr>
      </w:pPr>
      <w:r>
        <w:rPr>
          <w:rFonts w:ascii="宋体" w:eastAsia="宋体" w:hAnsi="宋体" w:hint="eastAsia"/>
          <w:color w:val="FF0000"/>
          <w:szCs w:val="21"/>
        </w:rPr>
        <w:t>　　（八）阻碍、抗拒主管部门监督检查的；</w:t>
      </w:r>
    </w:p>
    <w:p>
      <w:pPr>
        <w:rPr>
          <w:rFonts w:ascii="宋体" w:eastAsia="宋体" w:hAnsi="宋体"/>
          <w:color w:val="FF0000"/>
          <w:szCs w:val="21"/>
        </w:rPr>
      </w:pPr>
      <w:r>
        <w:rPr>
          <w:rFonts w:ascii="宋体" w:eastAsia="宋体" w:hAnsi="宋体" w:hint="eastAsia"/>
          <w:color w:val="FF0000"/>
          <w:szCs w:val="21"/>
        </w:rPr>
        <w:t>　　（九）其他违反本条例规定的行为。</w:t>
      </w:r>
    </w:p>
    <w:p>
      <w:pPr>
        <w:rPr>
          <w:rFonts w:ascii="宋体" w:eastAsia="宋体" w:hAnsi="宋体"/>
          <w:b/>
          <w:color w:val="FF0000"/>
          <w:szCs w:val="21"/>
        </w:rPr>
      </w:pPr>
      <w:r>
        <w:rPr>
          <w:rFonts w:ascii="宋体" w:eastAsia="宋体" w:hAnsi="宋体" w:hint="eastAsia"/>
          <w:b/>
          <w:color w:val="FF0000"/>
          <w:szCs w:val="21"/>
        </w:rPr>
        <w:t>《深圳经济特区政府采购条例实施细则》</w:t>
      </w:r>
    </w:p>
    <w:p>
      <w:pPr>
        <w:ind w:firstLine="420" w:firstLineChars="200"/>
        <w:rPr>
          <w:rFonts w:ascii="宋体" w:eastAsia="宋体" w:hAnsi="宋体"/>
          <w:color w:val="FF0000"/>
          <w:szCs w:val="21"/>
        </w:rPr>
      </w:pPr>
      <w:r>
        <w:rPr>
          <w:rFonts w:ascii="宋体" w:eastAsia="宋体" w:hAnsi="宋体" w:hint="eastAsia"/>
          <w:b/>
          <w:color w:val="FF0000"/>
          <w:szCs w:val="21"/>
        </w:rPr>
        <w:t>第七十五条</w:t>
      </w:r>
      <w:r>
        <w:rPr>
          <w:rFonts w:ascii="宋体" w:eastAsia="宋体" w:hAnsi="宋体" w:hint="eastAsia"/>
          <w:color w:val="FF0000"/>
          <w:szCs w:val="21"/>
        </w:rPr>
        <w:t xml:space="preserve">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20" w:firstLineChars="200"/>
        <w:rPr>
          <w:rFonts w:ascii="宋体" w:eastAsia="宋体" w:hAnsi="宋体"/>
          <w:color w:val="FF0000"/>
          <w:szCs w:val="21"/>
        </w:rPr>
      </w:pPr>
      <w:r>
        <w:rPr>
          <w:rFonts w:ascii="宋体" w:eastAsia="宋体" w:hAnsi="宋体" w:hint="eastAsia"/>
          <w:b/>
          <w:color w:val="FF0000"/>
          <w:szCs w:val="21"/>
        </w:rPr>
        <w:t>第七十七条</w:t>
      </w:r>
      <w:r>
        <w:rPr>
          <w:rFonts w:ascii="宋体" w:eastAsia="宋体" w:hAnsi="宋体" w:hint="eastAsia"/>
          <w:color w:val="FF0000"/>
          <w:szCs w:val="21"/>
        </w:rPr>
        <w:t xml:space="preserve">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投标供应商不能提供项目负责人或者主要技术人员的劳动合同、社会保险等劳动关系证明材料的，视为存在前款第（三）项规定的情形。</w:t>
      </w:r>
    </w:p>
    <w:p>
      <w:pPr>
        <w:rPr>
          <w:rFonts w:ascii="宋体" w:eastAsia="宋体" w:hAnsi="宋体"/>
          <w:b/>
          <w:color w:val="FF0000"/>
          <w:sz w:val="24"/>
          <w:szCs w:val="21"/>
        </w:rPr>
      </w:pPr>
      <w:r>
        <w:rPr>
          <w:rFonts w:ascii="宋体" w:eastAsia="宋体" w:hAnsi="宋体" w:hint="eastAsia"/>
          <w:b/>
          <w:color w:val="FF0000"/>
          <w:sz w:val="24"/>
          <w:szCs w:val="21"/>
          <w:highlight w:val="yellow"/>
        </w:rPr>
        <w:t>《关于投标文件上传IP地址、</w:t>
      </w:r>
      <w:r>
        <w:rPr>
          <w:rFonts w:ascii="宋体" w:eastAsia="宋体" w:hAnsi="宋体"/>
          <w:b/>
          <w:color w:val="FF0000"/>
          <w:sz w:val="24"/>
          <w:szCs w:val="21"/>
          <w:highlight w:val="yellow"/>
        </w:rPr>
        <w:t>文件创建标识码、文件制作机器码一致情形</w:t>
      </w:r>
      <w:r>
        <w:rPr>
          <w:rFonts w:ascii="宋体" w:eastAsia="宋体" w:hAnsi="宋体" w:hint="eastAsia"/>
          <w:b/>
          <w:color w:val="FF0000"/>
          <w:sz w:val="24"/>
          <w:szCs w:val="21"/>
          <w:highlight w:val="yellow"/>
        </w:rPr>
        <w:t>》</w:t>
      </w:r>
    </w:p>
    <w:p>
      <w:pPr>
        <w:ind w:firstLine="420" w:firstLineChars="200"/>
        <w:rPr>
          <w:rFonts w:ascii="宋体" w:eastAsia="宋体" w:hAnsi="宋体"/>
          <w:color w:val="FF0000"/>
          <w:szCs w:val="21"/>
          <w:highlight w:val="yellow"/>
        </w:rPr>
      </w:pPr>
      <w:r>
        <w:rPr>
          <w:rFonts w:ascii="宋体" w:eastAsia="宋体" w:hAnsi="宋体"/>
          <w:color w:val="FF0000"/>
          <w:szCs w:val="21"/>
          <w:highlight w:val="yellow"/>
        </w:rPr>
        <w:t>1.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ind w:firstLine="420" w:firstLineChars="200"/>
        <w:rPr>
          <w:rFonts w:ascii="宋体" w:eastAsia="宋体" w:hAnsi="宋体"/>
          <w:color w:val="FF0000"/>
          <w:szCs w:val="21"/>
          <w:highlight w:val="yellow"/>
        </w:rPr>
      </w:pPr>
      <w:r>
        <w:rPr>
          <w:rFonts w:ascii="宋体" w:eastAsia="宋体" w:hAnsi="宋体"/>
          <w:color w:val="FF0000"/>
          <w:szCs w:val="21"/>
          <w:highlight w:val="yellow"/>
        </w:rPr>
        <w:t>2.为避免出现不同供应商投标文件的文件制作机器码、文件创建标识码、IP地址一致的异常情况，建议各供应商编制、上传投标文件时不要使用公共电脑设备或公共网络。</w:t>
      </w:r>
    </w:p>
    <w:p>
      <w:pPr>
        <w:ind w:firstLine="420" w:firstLineChars="200"/>
        <w:rPr>
          <w:rFonts w:ascii="宋体" w:eastAsia="宋体" w:hAnsi="宋体"/>
          <w:color w:val="FF0000"/>
          <w:szCs w:val="21"/>
        </w:rPr>
      </w:pPr>
      <w:r>
        <w:rPr>
          <w:rFonts w:ascii="宋体" w:eastAsia="宋体" w:hAnsi="宋体"/>
          <w:color w:val="FF0000"/>
          <w:szCs w:val="21"/>
          <w:highlight w:val="yellow"/>
        </w:rPr>
        <w:t>3.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pPr>
        <w:jc w:val="center"/>
        <w:rPr>
          <w:rFonts w:ascii="宋体" w:eastAsia="宋体" w:hAnsi="宋体"/>
          <w:b/>
          <w:color w:val="FF0000"/>
          <w:sz w:val="44"/>
          <w:szCs w:val="44"/>
        </w:rPr>
      </w:pPr>
      <w:r>
        <w:rPr>
          <w:rFonts w:ascii="宋体" w:eastAsia="宋体" w:hAnsi="宋体" w:hint="eastAsia"/>
          <w:b/>
          <w:color w:val="FF0000"/>
          <w:sz w:val="44"/>
          <w:szCs w:val="44"/>
          <w:highlight w:val="green"/>
        </w:rPr>
        <w:t>供应商参与本次投标活动时，需提供单位负责人或投标授权代表签字并加盖单位公章的《</w:t>
      </w:r>
      <w:r>
        <w:rPr>
          <w:rFonts w:ascii="宋体" w:eastAsia="宋体" w:hAnsi="宋体" w:cs="宋体"/>
          <w:b/>
          <w:color w:val="FF0000"/>
          <w:kern w:val="0"/>
          <w:sz w:val="44"/>
          <w:szCs w:val="44"/>
          <w:highlight w:val="green"/>
        </w:rPr>
        <w:t>政府采购违法行为风险知悉确认书</w:t>
      </w:r>
      <w:r>
        <w:rPr>
          <w:rFonts w:ascii="宋体" w:eastAsia="宋体" w:hAnsi="宋体" w:hint="eastAsia"/>
          <w:b/>
          <w:color w:val="FF0000"/>
          <w:sz w:val="44"/>
          <w:szCs w:val="44"/>
          <w:highlight w:val="green"/>
        </w:rPr>
        <w:t>》扫描件，格式如下：</w:t>
      </w:r>
    </w:p>
    <w:p>
      <w:pPr>
        <w:widowControl/>
        <w:jc w:val="center"/>
        <w:rPr>
          <w:rFonts w:ascii="宋体" w:eastAsia="宋体" w:hAnsi="宋体" w:cs="宋体"/>
          <w:b/>
          <w:color w:val="000000"/>
          <w:kern w:val="0"/>
          <w:sz w:val="52"/>
          <w:szCs w:val="52"/>
        </w:rPr>
      </w:pPr>
      <w:r>
        <w:rPr>
          <w:rFonts w:ascii="宋体" w:eastAsia="宋体" w:hAnsi="宋体" w:cs="宋体"/>
          <w:b/>
          <w:color w:val="000000"/>
          <w:kern w:val="0"/>
          <w:sz w:val="52"/>
          <w:szCs w:val="52"/>
        </w:rPr>
        <w:t>政府采购违法行为风险知悉确认书</w:t>
      </w:r>
    </w:p>
    <w:p>
      <w:pPr>
        <w:widowControl/>
        <w:snapToGrid w:val="0"/>
        <w:jc w:val="center"/>
        <w:rPr>
          <w:rFonts w:ascii="宋体" w:eastAsia="宋体" w:hAnsi="宋体" w:cs="宋体"/>
          <w:color w:val="000000"/>
          <w:kern w:val="0"/>
          <w:sz w:val="44"/>
          <w:szCs w:val="44"/>
        </w:rPr>
      </w:pPr>
    </w:p>
    <w:p>
      <w:pPr>
        <w:widowControl/>
        <w:snapToGrid w:val="0"/>
        <w:jc w:val="left"/>
        <w:rPr>
          <w:rFonts w:ascii="宋体" w:eastAsia="宋体" w:hAnsi="宋体" w:cs="宋体"/>
          <w:kern w:val="0"/>
          <w:sz w:val="28"/>
          <w:szCs w:val="28"/>
        </w:rPr>
      </w:pPr>
      <w:r>
        <w:rPr>
          <w:rFonts w:ascii="宋体" w:eastAsia="宋体" w:hAnsi="宋体" w:cs="宋体" w:hint="eastAsia"/>
          <w:color w:val="000000"/>
          <w:kern w:val="0"/>
          <w:sz w:val="28"/>
          <w:szCs w:val="28"/>
        </w:rPr>
        <w:t xml:space="preserve">本公司在投标前已充分知悉以下情形为参与政府采购活动时的重大风险事项，并承诺已对下述风险提示事项重点排查，做到严谨、诚信、依法依规参与政府采购活动。 </w:t>
      </w:r>
    </w:p>
    <w:p>
      <w:pPr>
        <w:widowControl/>
        <w:snapToGrid w:val="0"/>
        <w:jc w:val="left"/>
        <w:rPr>
          <w:rFonts w:ascii="宋体" w:eastAsia="宋体" w:hAnsi="宋体" w:cs="宋体"/>
          <w:kern w:val="0"/>
          <w:sz w:val="28"/>
          <w:szCs w:val="28"/>
        </w:rPr>
      </w:pPr>
      <w:r>
        <w:rPr>
          <w:rFonts w:ascii="宋体" w:eastAsia="宋体" w:hAnsi="宋体" w:cs="宋体" w:hint="eastAsia"/>
          <w:b/>
          <w:bCs/>
          <w:color w:val="000000"/>
          <w:kern w:val="0"/>
          <w:sz w:val="28"/>
          <w:szCs w:val="28"/>
        </w:rPr>
        <w:t xml:space="preserve">    一、本公司已充分知悉“隐瞒真实情况，提供虚假资料”的法定情形，相关情形包括但不限于</w:t>
      </w:r>
      <w:r>
        <w:rPr>
          <w:rFonts w:ascii="宋体" w:eastAsia="宋体" w:hAnsi="宋体" w:cs="宋体" w:hint="eastAsia"/>
          <w:color w:val="000000"/>
          <w:kern w:val="0"/>
          <w:sz w:val="28"/>
          <w:szCs w:val="28"/>
        </w:rPr>
        <w:t xml:space="preserve">： </w:t>
      </w:r>
    </w:p>
    <w:p>
      <w:pPr>
        <w:widowControl/>
        <w:snapToGrid w:val="0"/>
        <w:jc w:val="left"/>
        <w:rPr>
          <w:rFonts w:ascii="宋体" w:eastAsia="宋体" w:hAnsi="宋体" w:cs="宋体"/>
          <w:kern w:val="0"/>
          <w:sz w:val="28"/>
          <w:szCs w:val="28"/>
        </w:rPr>
      </w:pPr>
      <w:r>
        <w:rPr>
          <w:rFonts w:ascii="宋体" w:eastAsia="宋体" w:hAnsi="宋体" w:cs="宋体" w:hint="eastAsia"/>
          <w:color w:val="000000"/>
          <w:kern w:val="0"/>
          <w:sz w:val="28"/>
          <w:szCs w:val="28"/>
        </w:rPr>
        <w:t xml:space="preserve">    （一）通过转让或者租借等方式从其他单位获取资格或者资质证书投标的。 </w:t>
      </w:r>
    </w:p>
    <w:p>
      <w:pPr>
        <w:widowControl/>
        <w:snapToGrid w:val="0"/>
        <w:jc w:val="left"/>
        <w:rPr>
          <w:rFonts w:ascii="宋体" w:eastAsia="宋体" w:hAnsi="宋体" w:cs="宋体"/>
          <w:kern w:val="0"/>
          <w:sz w:val="28"/>
          <w:szCs w:val="28"/>
        </w:rPr>
      </w:pPr>
      <w:r>
        <w:rPr>
          <w:rFonts w:ascii="宋体" w:eastAsia="宋体" w:hAnsi="宋体" w:cs="宋体" w:hint="eastAsia"/>
          <w:color w:val="000000"/>
          <w:kern w:val="0"/>
          <w:sz w:val="28"/>
          <w:szCs w:val="28"/>
        </w:rPr>
        <w:t xml:space="preserve">    （二）由其他单位或者其他单位负责人在投标供应商编制的投标文件上加盖印章或者签字的。 </w:t>
      </w:r>
    </w:p>
    <w:p>
      <w:pPr>
        <w:widowControl/>
        <w:snapToGrid w:val="0"/>
        <w:jc w:val="left"/>
        <w:rPr>
          <w:rFonts w:ascii="宋体" w:eastAsia="宋体" w:hAnsi="宋体" w:cs="宋体"/>
          <w:kern w:val="0"/>
          <w:sz w:val="28"/>
          <w:szCs w:val="28"/>
        </w:rPr>
      </w:pPr>
      <w:r>
        <w:rPr>
          <w:rFonts w:ascii="宋体" w:eastAsia="宋体" w:hAnsi="宋体" w:cs="宋体" w:hint="eastAsia"/>
          <w:color w:val="000000"/>
          <w:kern w:val="0"/>
          <w:sz w:val="28"/>
          <w:szCs w:val="28"/>
        </w:rPr>
        <w:t xml:space="preserve">    （三）项目负责人或者主要技术人员不是本单位人员的。 </w:t>
      </w:r>
    </w:p>
    <w:p>
      <w:pPr>
        <w:widowControl/>
        <w:snapToGrid w:val="0"/>
        <w:jc w:val="left"/>
        <w:rPr>
          <w:rFonts w:ascii="宋体" w:eastAsia="宋体" w:hAnsi="宋体" w:cs="宋体"/>
          <w:kern w:val="0"/>
          <w:sz w:val="28"/>
          <w:szCs w:val="28"/>
        </w:rPr>
      </w:pPr>
      <w:r>
        <w:rPr>
          <w:rFonts w:ascii="宋体" w:eastAsia="宋体" w:hAnsi="宋体" w:cs="宋体" w:hint="eastAsia"/>
          <w:color w:val="000000"/>
          <w:kern w:val="0"/>
          <w:sz w:val="28"/>
          <w:szCs w:val="28"/>
        </w:rPr>
        <w:t xml:space="preserve">    （四）投标保证金不是从投标供应商基本账户转出的。 </w:t>
      </w:r>
    </w:p>
    <w:p>
      <w:pPr>
        <w:widowControl/>
        <w:snapToGrid w:val="0"/>
        <w:jc w:val="left"/>
        <w:rPr>
          <w:rFonts w:ascii="宋体" w:eastAsia="宋体" w:hAnsi="宋体" w:cs="宋体"/>
          <w:kern w:val="0"/>
          <w:sz w:val="28"/>
          <w:szCs w:val="28"/>
        </w:rPr>
      </w:pPr>
      <w:r>
        <w:rPr>
          <w:rFonts w:ascii="宋体" w:eastAsia="宋体" w:hAnsi="宋体" w:cs="宋体" w:hint="eastAsia"/>
          <w:color w:val="000000"/>
          <w:kern w:val="0"/>
          <w:sz w:val="28"/>
          <w:szCs w:val="28"/>
        </w:rPr>
        <w:t xml:space="preserve">    （五）其他隐瞒真实情况、提供虚假资料的行为。 </w:t>
      </w:r>
    </w:p>
    <w:p>
      <w:pPr>
        <w:widowControl/>
        <w:snapToGrid w:val="0"/>
        <w:jc w:val="left"/>
        <w:rPr>
          <w:rFonts w:ascii="宋体" w:eastAsia="宋体" w:hAnsi="宋体" w:cs="宋体"/>
          <w:kern w:val="0"/>
          <w:sz w:val="28"/>
          <w:szCs w:val="28"/>
        </w:rPr>
      </w:pPr>
      <w:r>
        <w:rPr>
          <w:rFonts w:ascii="宋体" w:eastAsia="宋体" w:hAnsi="宋体" w:cs="宋体" w:hint="eastAsia"/>
          <w:b/>
          <w:bCs/>
          <w:color w:val="000000"/>
          <w:kern w:val="0"/>
          <w:sz w:val="28"/>
          <w:szCs w:val="28"/>
        </w:rPr>
        <w:t xml:space="preserve">    二、本公司已充分知悉“与其他采购参加人串通投标”的法定情形，相关情形包括但不限于： </w:t>
      </w:r>
    </w:p>
    <w:p>
      <w:pPr>
        <w:widowControl/>
        <w:snapToGrid w:val="0"/>
        <w:jc w:val="left"/>
        <w:rPr>
          <w:rFonts w:ascii="宋体" w:eastAsia="宋体" w:hAnsi="宋体" w:cs="宋体"/>
          <w:kern w:val="0"/>
          <w:sz w:val="28"/>
          <w:szCs w:val="28"/>
        </w:rPr>
      </w:pPr>
      <w:r>
        <w:rPr>
          <w:rFonts w:ascii="宋体" w:eastAsia="宋体" w:hAnsi="宋体" w:cs="宋体" w:hint="eastAsia"/>
          <w:color w:val="000000"/>
          <w:kern w:val="0"/>
          <w:sz w:val="28"/>
          <w:szCs w:val="28"/>
        </w:rPr>
        <w:t xml:space="preserve">    （一）投标供应商之间相互约定给予未中标的供应商利益补偿。</w:t>
      </w:r>
    </w:p>
    <w:p>
      <w:pPr>
        <w:widowControl/>
        <w:snapToGrid w:val="0"/>
        <w:jc w:val="left"/>
        <w:rPr>
          <w:rFonts w:ascii="宋体" w:eastAsia="宋体" w:hAnsi="宋体" w:cs="宋体"/>
          <w:kern w:val="0"/>
          <w:sz w:val="28"/>
          <w:szCs w:val="28"/>
        </w:rPr>
      </w:pPr>
      <w:r>
        <w:rPr>
          <w:rFonts w:ascii="宋体" w:eastAsia="宋体" w:hAnsi="宋体" w:cs="宋体" w:hint="eastAsia"/>
          <w:color w:val="000000"/>
          <w:kern w:val="0"/>
          <w:sz w:val="28"/>
          <w:szCs w:val="28"/>
        </w:rPr>
        <w:t xml:space="preserve">    （二）不同投标供应商的法定代表人、主要经营负责人、项目投标授权代表人、项目负责人、主要技术人员为同一人、属同一单位或者在同一单位缴纳社会保险。 </w:t>
      </w:r>
    </w:p>
    <w:p>
      <w:pPr>
        <w:widowControl/>
        <w:snapToGrid w:val="0"/>
        <w:jc w:val="left"/>
        <w:rPr>
          <w:rFonts w:ascii="宋体" w:eastAsia="宋体" w:hAnsi="宋体" w:cs="宋体"/>
          <w:kern w:val="0"/>
          <w:sz w:val="28"/>
          <w:szCs w:val="28"/>
        </w:rPr>
      </w:pPr>
      <w:r>
        <w:rPr>
          <w:rFonts w:ascii="宋体" w:eastAsia="宋体" w:hAnsi="宋体" w:cs="宋体" w:hint="eastAsia"/>
          <w:color w:val="000000"/>
          <w:kern w:val="0"/>
          <w:sz w:val="28"/>
          <w:szCs w:val="28"/>
        </w:rPr>
        <w:t xml:space="preserve">    （三）不同投标供应商的投标文件由同一单位或者同一人编制，或者由同一人分阶段参与编制的。 </w:t>
      </w:r>
    </w:p>
    <w:p>
      <w:pPr>
        <w:widowControl/>
        <w:snapToGrid w:val="0"/>
        <w:jc w:val="left"/>
        <w:rPr>
          <w:rFonts w:ascii="宋体" w:eastAsia="宋体" w:hAnsi="宋体" w:cs="宋体"/>
          <w:kern w:val="0"/>
          <w:sz w:val="28"/>
          <w:szCs w:val="28"/>
        </w:rPr>
      </w:pPr>
      <w:r>
        <w:rPr>
          <w:rFonts w:ascii="宋体" w:eastAsia="宋体" w:hAnsi="宋体" w:cs="宋体" w:hint="eastAsia"/>
          <w:color w:val="000000"/>
          <w:kern w:val="0"/>
          <w:sz w:val="28"/>
          <w:szCs w:val="28"/>
        </w:rPr>
        <w:t xml:space="preserve">    （四）不同投标供应商的投标文件或部分投标文件相互混装。</w:t>
      </w:r>
    </w:p>
    <w:p>
      <w:pPr>
        <w:widowControl/>
        <w:snapToGrid w:val="0"/>
        <w:jc w:val="left"/>
        <w:rPr>
          <w:rFonts w:ascii="宋体" w:eastAsia="宋体" w:hAnsi="宋体" w:cs="宋体"/>
          <w:kern w:val="0"/>
          <w:sz w:val="28"/>
          <w:szCs w:val="28"/>
        </w:rPr>
      </w:pPr>
      <w:r>
        <w:rPr>
          <w:rFonts w:ascii="宋体" w:eastAsia="宋体" w:hAnsi="宋体" w:cs="宋体" w:hint="eastAsia"/>
          <w:color w:val="000000"/>
          <w:kern w:val="0"/>
          <w:sz w:val="28"/>
          <w:szCs w:val="28"/>
        </w:rPr>
        <w:t xml:space="preserve">    （五）不同投标供应商的投标文件内容存在非正常一致。 </w:t>
      </w:r>
    </w:p>
    <w:p>
      <w:pPr>
        <w:widowControl/>
        <w:snapToGrid w:val="0"/>
        <w:jc w:val="left"/>
        <w:rPr>
          <w:rFonts w:ascii="宋体" w:eastAsia="宋体" w:hAnsi="宋体" w:cs="宋体"/>
          <w:kern w:val="0"/>
          <w:sz w:val="28"/>
          <w:szCs w:val="28"/>
        </w:rPr>
      </w:pPr>
      <w:r>
        <w:rPr>
          <w:rFonts w:ascii="宋体" w:eastAsia="宋体" w:hAnsi="宋体" w:cs="宋体" w:hint="eastAsia"/>
          <w:color w:val="000000"/>
          <w:kern w:val="0"/>
          <w:sz w:val="28"/>
          <w:szCs w:val="28"/>
        </w:rPr>
        <w:t xml:space="preserve">    （六）由同一单位工作人员为两家以上（含两家）供应商进行同一项投标活动的。 </w:t>
      </w:r>
    </w:p>
    <w:p>
      <w:pPr>
        <w:widowControl/>
        <w:snapToGrid w:val="0"/>
        <w:jc w:val="left"/>
        <w:rPr>
          <w:rFonts w:ascii="宋体" w:eastAsia="宋体" w:hAnsi="宋体" w:cs="宋体"/>
          <w:kern w:val="0"/>
          <w:sz w:val="28"/>
          <w:szCs w:val="28"/>
        </w:rPr>
      </w:pPr>
      <w:r>
        <w:rPr>
          <w:rFonts w:ascii="宋体" w:eastAsia="宋体" w:hAnsi="宋体" w:cs="宋体" w:hint="eastAsia"/>
          <w:color w:val="000000"/>
          <w:kern w:val="0"/>
          <w:sz w:val="28"/>
          <w:szCs w:val="28"/>
        </w:rPr>
        <w:t xml:space="preserve">    （七）不同投标人的投标报价呈规律性差异。 </w:t>
      </w:r>
    </w:p>
    <w:p>
      <w:pPr>
        <w:widowControl/>
        <w:snapToGrid w:val="0"/>
        <w:jc w:val="left"/>
        <w:rPr>
          <w:rFonts w:ascii="宋体" w:eastAsia="宋体" w:hAnsi="宋体" w:cs="宋体"/>
          <w:kern w:val="0"/>
          <w:sz w:val="28"/>
          <w:szCs w:val="28"/>
        </w:rPr>
      </w:pPr>
      <w:r>
        <w:rPr>
          <w:rFonts w:ascii="宋体" w:eastAsia="宋体" w:hAnsi="宋体" w:cs="宋体" w:hint="eastAsia"/>
          <w:color w:val="000000"/>
          <w:kern w:val="0"/>
          <w:sz w:val="28"/>
          <w:szCs w:val="28"/>
        </w:rPr>
        <w:t xml:space="preserve">    （八）不同投标人的投标保证金从同一单位或者个人的账户转出。</w:t>
      </w:r>
    </w:p>
    <w:p>
      <w:pPr>
        <w:widowControl/>
        <w:snapToGrid w:val="0"/>
        <w:jc w:val="left"/>
        <w:rPr>
          <w:rFonts w:ascii="宋体" w:eastAsia="宋体" w:hAnsi="宋体" w:cs="宋体"/>
          <w:kern w:val="0"/>
          <w:sz w:val="28"/>
          <w:szCs w:val="28"/>
        </w:rPr>
      </w:pPr>
      <w:r>
        <w:rPr>
          <w:rFonts w:ascii="宋体" w:eastAsia="宋体" w:hAnsi="宋体" w:cs="宋体" w:hint="eastAsia"/>
          <w:color w:val="000000"/>
          <w:kern w:val="0"/>
          <w:sz w:val="28"/>
          <w:szCs w:val="28"/>
        </w:rPr>
        <w:t xml:space="preserve">    （九）主管部门依照法律、法规认定的其他情形。 </w:t>
      </w:r>
    </w:p>
    <w:p>
      <w:pPr>
        <w:widowControl/>
        <w:snapToGrid w:val="0"/>
        <w:jc w:val="left"/>
        <w:rPr>
          <w:rFonts w:ascii="宋体" w:eastAsia="宋体" w:hAnsi="宋体" w:cs="宋体"/>
          <w:kern w:val="0"/>
          <w:sz w:val="28"/>
          <w:szCs w:val="28"/>
        </w:rPr>
      </w:pPr>
      <w:r>
        <w:rPr>
          <w:rFonts w:ascii="宋体" w:eastAsia="宋体" w:hAnsi="宋体" w:cs="宋体" w:hint="eastAsia"/>
          <w:b/>
          <w:bCs/>
          <w:color w:val="000000"/>
          <w:kern w:val="0"/>
          <w:sz w:val="28"/>
          <w:szCs w:val="28"/>
        </w:rPr>
        <w:t xml:space="preserve">    三、本公司已充分知悉下列情形所对应的法律风险，并在投标前已对相关风险事项进行排查。 </w:t>
      </w:r>
    </w:p>
    <w:p>
      <w:pPr>
        <w:widowControl/>
        <w:snapToGrid w:val="0"/>
        <w:jc w:val="left"/>
        <w:rPr>
          <w:rFonts w:ascii="宋体" w:eastAsia="宋体" w:hAnsi="宋体" w:cs="宋体"/>
          <w:kern w:val="0"/>
          <w:sz w:val="28"/>
          <w:szCs w:val="28"/>
        </w:rPr>
      </w:pPr>
      <w:r>
        <w:rPr>
          <w:rFonts w:ascii="宋体" w:eastAsia="宋体" w:hAnsi="宋体" w:cs="宋体" w:hint="eastAsia"/>
          <w:color w:val="000000"/>
          <w:kern w:val="0"/>
          <w:sz w:val="28"/>
          <w:szCs w:val="28"/>
        </w:rPr>
        <w:t xml:space="preserve">    （一）对于从其他主体获取的投标资料，供应商应审慎核查，确保投标资料的真实性。</w:t>
      </w:r>
      <w:r>
        <w:rPr>
          <w:rFonts w:ascii="宋体" w:eastAsia="宋体" w:hAnsi="宋体" w:cs="宋体" w:hint="eastAsia"/>
          <w:b/>
          <w:bCs/>
          <w:color w:val="000000"/>
          <w:kern w:val="0"/>
          <w:sz w:val="28"/>
          <w:szCs w:val="28"/>
        </w:rPr>
        <w:t xml:space="preserve">如主管部门查实投标文件中存在虚假资料的，无论相关资料是否由第三方或本公司员工提供，均不影响主管部门对供应商存在“隐瞒真实情况，提供虚假资料”违法行为的认定。 </w:t>
      </w:r>
    </w:p>
    <w:p>
      <w:pPr>
        <w:widowControl/>
        <w:snapToGrid w:val="0"/>
        <w:jc w:val="left"/>
        <w:rPr>
          <w:rFonts w:ascii="宋体" w:eastAsia="宋体" w:hAnsi="宋体" w:cs="宋体"/>
          <w:kern w:val="0"/>
          <w:sz w:val="28"/>
          <w:szCs w:val="28"/>
        </w:rPr>
      </w:pPr>
      <w:r>
        <w:rPr>
          <w:rFonts w:ascii="宋体" w:eastAsia="宋体" w:hAnsi="宋体" w:cs="宋体" w:hint="eastAsia"/>
          <w:color w:val="000000"/>
          <w:kern w:val="0"/>
          <w:sz w:val="28"/>
          <w:szCs w:val="28"/>
        </w:rPr>
        <w:t xml:space="preserve">    （二）对于涉及国家机关出具的公文、证件、证明材料等文件，一旦涉嫌虚假，经查实，主管部门将依法从严处理，并移送有关部门追究法律责任；涉嫌犯罪的，主管部门将一并移送司法机关追究法律责任。 </w:t>
      </w:r>
    </w:p>
    <w:p>
      <w:pPr>
        <w:widowControl/>
        <w:snapToGrid w:val="0"/>
        <w:jc w:val="left"/>
        <w:rPr>
          <w:rFonts w:ascii="宋体" w:eastAsia="宋体" w:hAnsi="宋体" w:cs="宋体"/>
          <w:kern w:val="0"/>
          <w:sz w:val="28"/>
          <w:szCs w:val="28"/>
        </w:rPr>
      </w:pPr>
      <w:r>
        <w:rPr>
          <w:rFonts w:ascii="宋体" w:eastAsia="宋体" w:hAnsi="宋体" w:cs="宋体" w:hint="eastAsia"/>
          <w:color w:val="000000"/>
          <w:kern w:val="0"/>
          <w:sz w:val="28"/>
          <w:szCs w:val="28"/>
        </w:rPr>
        <w:t xml:space="preserve">    （三）对于涉及安全生产、特种作业、抢险救灾、防疫等政府采购项目，供应商实施提供虚假资料、串通投标等违法行为的，主管部门将依法从严处理。 </w:t>
      </w:r>
    </w:p>
    <w:p>
      <w:pPr>
        <w:widowControl/>
        <w:snapToGrid w:val="0"/>
        <w:jc w:val="left"/>
        <w:rPr>
          <w:rFonts w:ascii="宋体" w:eastAsia="宋体" w:hAnsi="宋体" w:cs="宋体"/>
          <w:kern w:val="0"/>
          <w:sz w:val="28"/>
          <w:szCs w:val="28"/>
        </w:rPr>
      </w:pPr>
      <w:r>
        <w:rPr>
          <w:rFonts w:ascii="宋体" w:eastAsia="宋体" w:hAnsi="宋体" w:cs="宋体" w:hint="eastAsia"/>
          <w:color w:val="000000"/>
          <w:kern w:val="0"/>
          <w:sz w:val="28"/>
          <w:szCs w:val="28"/>
        </w:rPr>
        <w:t xml:space="preserve">    （四）供应商应严格规范项目授权代表、员工参与招标投标的行为，加强对投标文件的审核。项目授权代表、员工编制、上传投标文件等行为违反政府采购法律法规或招标文件要求的，投标供应商应当依法承担相应法律责任。 </w:t>
      </w:r>
    </w:p>
    <w:p>
      <w:pPr>
        <w:widowControl/>
        <w:snapToGrid w:val="0"/>
        <w:jc w:val="left"/>
        <w:rPr>
          <w:rFonts w:ascii="宋体" w:eastAsia="宋体" w:hAnsi="宋体" w:cs="宋体"/>
          <w:kern w:val="0"/>
          <w:sz w:val="28"/>
          <w:szCs w:val="28"/>
        </w:rPr>
      </w:pPr>
      <w:r>
        <w:rPr>
          <w:rFonts w:ascii="宋体" w:eastAsia="宋体" w:hAnsi="宋体" w:cs="宋体" w:hint="eastAsia"/>
          <w:color w:val="000000"/>
          <w:kern w:val="0"/>
          <w:sz w:val="28"/>
          <w:szCs w:val="28"/>
        </w:rPr>
        <w:t xml:space="preserve">    （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 </w:t>
      </w:r>
    </w:p>
    <w:p>
      <w:pPr>
        <w:widowControl/>
        <w:snapToGrid w:val="0"/>
        <w:jc w:val="left"/>
        <w:rPr>
          <w:rFonts w:ascii="宋体" w:eastAsia="宋体" w:hAnsi="宋体" w:cs="宋体"/>
          <w:kern w:val="0"/>
          <w:sz w:val="28"/>
          <w:szCs w:val="28"/>
        </w:rPr>
      </w:pPr>
      <w:r>
        <w:rPr>
          <w:rFonts w:ascii="宋体" w:eastAsia="宋体" w:hAnsi="宋体" w:cs="宋体" w:hint="eastAsia"/>
          <w:color w:val="000000"/>
          <w:kern w:val="0"/>
          <w:sz w:val="28"/>
          <w:szCs w:val="28"/>
        </w:rPr>
        <w:t xml:space="preserve">    （六）单位负责人为同一人或者存在直接控股、管理关系的不同供应商，不得参加同一合同项下的政府采购活动。相关情形如查实，依法作投标无效处理；涉嫌串通投标等违法行为的，主管部门将依法调查处理。 </w:t>
      </w:r>
    </w:p>
    <w:p>
      <w:pPr>
        <w:widowControl/>
        <w:snapToGrid w:val="0"/>
        <w:ind w:firstLine="570"/>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四、本公司已充分知悉政府采购违法、违规行为的法律后果。</w:t>
      </w:r>
    </w:p>
    <w:p>
      <w:pPr>
        <w:widowControl/>
        <w:snapToGrid w:val="0"/>
        <w:ind w:firstLine="57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 </w:t>
      </w:r>
    </w:p>
    <w:p>
      <w:pPr>
        <w:widowControl/>
        <w:snapToGrid w:val="0"/>
        <w:ind w:firstLine="570"/>
        <w:jc w:val="left"/>
        <w:rPr>
          <w:rFonts w:ascii="宋体" w:eastAsia="宋体" w:hAnsi="宋体" w:cs="宋体"/>
          <w:kern w:val="0"/>
          <w:sz w:val="28"/>
          <w:szCs w:val="28"/>
        </w:rPr>
      </w:pPr>
    </w:p>
    <w:p>
      <w:pPr>
        <w:widowControl/>
        <w:snapToGrid w:val="0"/>
        <w:ind w:firstLine="645"/>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以下文字请投标供应商抄写并确认：“本公司已仔细阅读《政府采购违法行为风险知悉确认书》，充分知悉违法行为的法律后果，并承诺将严谨、诚信、依法依规参与政府采购活动”。 </w:t>
      </w:r>
    </w:p>
    <w:p>
      <w:pPr>
        <w:widowControl/>
        <w:snapToGrid w:val="0"/>
        <w:ind w:firstLine="645"/>
        <w:jc w:val="left"/>
        <w:rPr>
          <w:rFonts w:ascii="宋体" w:eastAsia="宋体" w:hAnsi="宋体" w:cs="宋体"/>
          <w:color w:val="000000"/>
          <w:kern w:val="0"/>
          <w:sz w:val="28"/>
          <w:szCs w:val="28"/>
        </w:rPr>
      </w:pPr>
    </w:p>
    <w:p>
      <w:pPr>
        <w:widowControl/>
        <w:snapToGrid w:val="0"/>
        <w:ind w:firstLine="2827" w:firstLineChars="1346"/>
        <w:jc w:val="left"/>
        <w:rPr>
          <w:rFonts w:ascii="宋体" w:eastAsia="宋体" w:hAnsi="宋体" w:cs="宋体"/>
          <w:kern w:val="0"/>
          <w:sz w:val="28"/>
          <w:szCs w:val="28"/>
        </w:rPr>
      </w:pPr>
      <w:r>
        <w:rPr>
          <w:rFonts w:ascii="宋体" w:eastAsia="宋体" w:hAnsi="宋体" w:cs="宋体" w:hint="eastAsia"/>
          <w:color w:val="000000"/>
          <w:kern w:val="0"/>
          <w:sz w:val="28"/>
          <w:szCs w:val="28"/>
        </w:rPr>
        <w:t xml:space="preserve">负责人/投标授权代表签名： </w:t>
      </w:r>
    </w:p>
    <w:p>
      <w:pPr>
        <w:widowControl/>
        <w:snapToGrid w:val="0"/>
        <w:jc w:val="left"/>
        <w:rPr>
          <w:rFonts w:ascii="宋体" w:eastAsia="宋体" w:hAnsi="宋体" w:cs="宋体"/>
          <w:kern w:val="0"/>
          <w:sz w:val="28"/>
          <w:szCs w:val="28"/>
        </w:rPr>
      </w:pPr>
      <w:r>
        <w:rPr>
          <w:rFonts w:ascii="宋体" w:eastAsia="宋体" w:hAnsi="宋体" w:cs="宋体" w:hint="eastAsia"/>
          <w:color w:val="000000"/>
          <w:kern w:val="0"/>
          <w:sz w:val="28"/>
          <w:szCs w:val="28"/>
        </w:rPr>
        <w:t xml:space="preserve">                           知悉人（公章）： </w:t>
      </w:r>
    </w:p>
    <w:p>
      <w:pPr>
        <w:snapToGrid w:val="0"/>
        <w:rPr>
          <w:rFonts w:ascii="宋体" w:eastAsia="宋体" w:hAnsi="宋体"/>
          <w:sz w:val="28"/>
          <w:szCs w:val="28"/>
        </w:rPr>
      </w:pPr>
      <w:r>
        <w:rPr>
          <w:rFonts w:ascii="宋体" w:eastAsia="宋体" w:hAnsi="宋体" w:cs="宋体" w:hint="eastAsia"/>
          <w:color w:val="000000"/>
          <w:kern w:val="0"/>
          <w:sz w:val="28"/>
          <w:szCs w:val="28"/>
        </w:rPr>
        <w:t xml:space="preserve">                           日期：</w:t>
      </w:r>
      <w:r>
        <w:br w:type="page"/>
      </w:r>
    </w:p>
    <w:p>
      <w:pPr>
        <w:keepNext/>
        <w:keepLines/>
        <w:spacing w:before="340" w:after="78" w:afterLines="25" w:line="578" w:lineRule="auto"/>
        <w:jc w:val="center"/>
        <w:outlineLvl w:val="0"/>
        <w:rPr>
          <w:rFonts w:ascii="Arial" w:eastAsia="宋体" w:hAnsi="Arial" w:cs="Times New Roman"/>
          <w:b/>
          <w:bCs/>
          <w:kern w:val="44"/>
          <w:sz w:val="32"/>
          <w:szCs w:val="32"/>
        </w:rPr>
      </w:pPr>
      <w:r>
        <w:rPr>
          <w:rFonts w:ascii="Arial" w:eastAsia="宋体" w:hAnsi="Arial" w:cs="Times New Roman" w:hint="eastAsia"/>
          <w:b/>
          <w:bCs/>
          <w:kern w:val="44"/>
          <w:sz w:val="32"/>
          <w:szCs w:val="32"/>
        </w:rPr>
        <w:t>目录</w:t>
      </w:r>
    </w:p>
    <w:p>
      <w:pPr>
        <w:rPr>
          <w:b/>
          <w:sz w:val="24"/>
          <w:szCs w:val="24"/>
        </w:rPr>
      </w:pPr>
      <w:r>
        <w:rPr>
          <w:rFonts w:hint="eastAsia"/>
          <w:b/>
          <w:sz w:val="24"/>
          <w:szCs w:val="24"/>
        </w:rPr>
        <w:t>第一册专用条款</w:t>
      </w:r>
    </w:p>
    <w:p>
      <w:pPr>
        <w:rPr>
          <w:b/>
          <w:sz w:val="24"/>
          <w:szCs w:val="24"/>
        </w:rPr>
      </w:pPr>
      <w:r>
        <w:rPr>
          <w:rFonts w:hint="eastAsia"/>
          <w:b/>
          <w:sz w:val="24"/>
          <w:szCs w:val="24"/>
        </w:rPr>
        <w:tab/>
      </w:r>
      <w:r>
        <w:rPr>
          <w:rFonts w:hint="eastAsia"/>
          <w:b/>
          <w:sz w:val="24"/>
          <w:szCs w:val="24"/>
        </w:rPr>
        <w:t>关键信息</w:t>
      </w:r>
    </w:p>
    <w:p>
      <w:pPr>
        <w:ind w:left="630" w:firstLine="412" w:leftChars="300" w:firstLineChars="196"/>
        <w:rPr>
          <w:rFonts w:ascii="宋体" w:hAnsi="宋体"/>
          <w:szCs w:val="21"/>
        </w:rPr>
      </w:pPr>
      <w:r>
        <w:rPr>
          <w:rFonts w:ascii="宋体" w:hAnsi="宋体" w:hint="eastAsia"/>
          <w:szCs w:val="21"/>
        </w:rPr>
        <w:t>第一章  招标公告</w:t>
      </w:r>
    </w:p>
    <w:p>
      <w:pPr>
        <w:ind w:left="630" w:firstLine="412" w:leftChars="300" w:firstLineChars="196"/>
        <w:rPr>
          <w:rFonts w:ascii="宋体" w:hAnsi="宋体"/>
          <w:szCs w:val="21"/>
        </w:rPr>
      </w:pPr>
      <w:r>
        <w:rPr>
          <w:rFonts w:ascii="宋体" w:hAnsi="宋体" w:hint="eastAsia"/>
          <w:szCs w:val="21"/>
        </w:rPr>
        <w:t>第二章  对通用条款的补充内容及其他关键信息</w:t>
      </w:r>
    </w:p>
    <w:p>
      <w:pPr>
        <w:ind w:left="630" w:firstLine="412" w:leftChars="300" w:firstLineChars="196"/>
        <w:rPr>
          <w:rFonts w:ascii="宋体" w:hAnsi="宋体"/>
          <w:szCs w:val="21"/>
        </w:rPr>
      </w:pPr>
      <w:r>
        <w:rPr>
          <w:rFonts w:ascii="宋体" w:hAnsi="宋体" w:hint="eastAsia"/>
          <w:szCs w:val="21"/>
        </w:rPr>
        <w:t>第三章 用户需求书</w:t>
      </w:r>
    </w:p>
    <w:p>
      <w:pPr>
        <w:ind w:left="630" w:firstLine="412" w:leftChars="300" w:firstLineChars="196"/>
        <w:rPr>
          <w:rFonts w:ascii="宋体" w:hAnsi="宋体"/>
          <w:szCs w:val="21"/>
        </w:rPr>
      </w:pPr>
      <w:r>
        <w:rPr>
          <w:rFonts w:ascii="宋体" w:hAnsi="宋体" w:hint="eastAsia"/>
          <w:szCs w:val="21"/>
        </w:rPr>
        <w:t>第四章 投标文件组成要求及格式</w:t>
      </w:r>
    </w:p>
    <w:p>
      <w:pPr>
        <w:ind w:left="630" w:firstLine="412" w:leftChars="300" w:firstLineChars="196"/>
        <w:rPr>
          <w:rFonts w:ascii="宋体" w:hAnsi="宋体"/>
          <w:szCs w:val="21"/>
        </w:rPr>
      </w:pPr>
      <w:r>
        <w:rPr>
          <w:rFonts w:ascii="宋体" w:hAnsi="宋体" w:hint="eastAsia"/>
          <w:szCs w:val="21"/>
        </w:rPr>
        <w:t>第五章  合同条款及格式</w:t>
      </w:r>
    </w:p>
    <w:p>
      <w:pPr>
        <w:rPr>
          <w:b/>
          <w:sz w:val="24"/>
        </w:rPr>
      </w:pPr>
    </w:p>
    <w:p>
      <w:pPr>
        <w:rPr>
          <w:b/>
          <w:sz w:val="24"/>
          <w:szCs w:val="24"/>
        </w:rPr>
      </w:pPr>
      <w:r>
        <w:rPr>
          <w:rFonts w:hint="eastAsia"/>
          <w:b/>
          <w:sz w:val="24"/>
          <w:szCs w:val="24"/>
        </w:rPr>
        <w:t>第二册通用条款</w:t>
      </w:r>
    </w:p>
    <w:p>
      <w:pPr>
        <w:ind w:left="630" w:firstLine="412" w:leftChars="300" w:firstLineChars="196"/>
        <w:rPr>
          <w:rFonts w:ascii="宋体" w:hAnsi="宋体"/>
          <w:szCs w:val="21"/>
        </w:rPr>
      </w:pPr>
      <w:r>
        <w:rPr>
          <w:rFonts w:ascii="宋体" w:hAnsi="宋体" w:hint="eastAsia"/>
          <w:szCs w:val="21"/>
        </w:rPr>
        <w:t>第一章  总则</w:t>
      </w:r>
    </w:p>
    <w:p>
      <w:pPr>
        <w:ind w:left="630" w:firstLine="412" w:leftChars="300" w:firstLineChars="196"/>
        <w:rPr>
          <w:rFonts w:ascii="宋体" w:hAnsi="宋体"/>
          <w:szCs w:val="21"/>
        </w:rPr>
      </w:pPr>
      <w:r>
        <w:rPr>
          <w:rFonts w:ascii="宋体" w:hAnsi="宋体" w:hint="eastAsia"/>
          <w:szCs w:val="21"/>
        </w:rPr>
        <w:t>第二章  招标文件</w:t>
      </w:r>
    </w:p>
    <w:p>
      <w:pPr>
        <w:ind w:left="630" w:firstLine="412" w:leftChars="300" w:firstLineChars="196"/>
        <w:rPr>
          <w:rFonts w:ascii="宋体" w:hAnsi="宋体"/>
          <w:szCs w:val="21"/>
        </w:rPr>
      </w:pPr>
      <w:r>
        <w:rPr>
          <w:rFonts w:ascii="宋体" w:hAnsi="宋体" w:hint="eastAsia"/>
          <w:szCs w:val="21"/>
        </w:rPr>
        <w:t>第三章  投标文件的编制</w:t>
      </w:r>
    </w:p>
    <w:p>
      <w:pPr>
        <w:ind w:left="630" w:firstLine="412" w:leftChars="300" w:firstLineChars="196"/>
        <w:rPr>
          <w:rFonts w:ascii="宋体" w:hAnsi="宋体"/>
          <w:szCs w:val="21"/>
        </w:rPr>
      </w:pPr>
      <w:r>
        <w:rPr>
          <w:rFonts w:ascii="宋体" w:hAnsi="宋体" w:hint="eastAsia"/>
          <w:szCs w:val="21"/>
        </w:rPr>
        <w:t>第四章  投标文件的递交</w:t>
      </w:r>
    </w:p>
    <w:p>
      <w:pPr>
        <w:ind w:left="630" w:firstLine="412" w:leftChars="300" w:firstLineChars="196"/>
        <w:rPr>
          <w:rFonts w:ascii="宋体" w:hAnsi="宋体"/>
          <w:szCs w:val="21"/>
        </w:rPr>
      </w:pPr>
      <w:r>
        <w:rPr>
          <w:rFonts w:ascii="宋体" w:hAnsi="宋体" w:hint="eastAsia"/>
          <w:szCs w:val="21"/>
        </w:rPr>
        <w:t>第五章  开标</w:t>
      </w:r>
    </w:p>
    <w:p>
      <w:pPr>
        <w:ind w:left="630" w:firstLine="412" w:leftChars="300" w:firstLineChars="196"/>
        <w:rPr>
          <w:rFonts w:ascii="宋体" w:hAnsi="宋体"/>
          <w:szCs w:val="21"/>
        </w:rPr>
      </w:pPr>
      <w:r>
        <w:rPr>
          <w:rFonts w:ascii="宋体" w:hAnsi="宋体" w:hint="eastAsia"/>
          <w:szCs w:val="21"/>
        </w:rPr>
        <w:t>第六章  评审要求</w:t>
      </w:r>
    </w:p>
    <w:p>
      <w:pPr>
        <w:ind w:left="630" w:firstLine="412" w:leftChars="300" w:firstLineChars="196"/>
        <w:rPr>
          <w:rFonts w:ascii="宋体" w:hAnsi="宋体"/>
          <w:szCs w:val="21"/>
        </w:rPr>
      </w:pPr>
      <w:r>
        <w:rPr>
          <w:rFonts w:ascii="宋体" w:hAnsi="宋体" w:hint="eastAsia"/>
          <w:szCs w:val="21"/>
        </w:rPr>
        <w:t>第七章  评审程序及评审方法</w:t>
      </w:r>
    </w:p>
    <w:p>
      <w:pPr>
        <w:ind w:left="630" w:firstLine="412" w:leftChars="300" w:firstLineChars="196"/>
        <w:rPr>
          <w:rFonts w:ascii="宋体" w:hAnsi="宋体"/>
          <w:szCs w:val="21"/>
        </w:rPr>
      </w:pPr>
      <w:r>
        <w:rPr>
          <w:rFonts w:ascii="宋体" w:hAnsi="宋体" w:hint="eastAsia"/>
          <w:szCs w:val="21"/>
        </w:rPr>
        <w:t>第八章  定标及公示</w:t>
      </w:r>
    </w:p>
    <w:p>
      <w:pPr>
        <w:ind w:left="630" w:firstLine="412" w:leftChars="300" w:firstLineChars="196"/>
        <w:rPr>
          <w:rFonts w:ascii="宋体" w:hAnsi="宋体"/>
          <w:szCs w:val="21"/>
        </w:rPr>
      </w:pPr>
      <w:r>
        <w:rPr>
          <w:rFonts w:ascii="宋体" w:hAnsi="宋体" w:hint="eastAsia"/>
          <w:szCs w:val="21"/>
        </w:rPr>
        <w:t>第九章  公开招标失败的后续处理</w:t>
      </w:r>
    </w:p>
    <w:p>
      <w:pPr>
        <w:ind w:left="630" w:firstLine="412" w:leftChars="300" w:firstLineChars="196"/>
        <w:rPr>
          <w:rFonts w:ascii="宋体" w:hAnsi="宋体"/>
          <w:szCs w:val="21"/>
        </w:rPr>
      </w:pPr>
      <w:r>
        <w:rPr>
          <w:rFonts w:ascii="宋体" w:hAnsi="宋体" w:hint="eastAsia"/>
          <w:szCs w:val="21"/>
        </w:rPr>
        <w:t>第十章  合同的授予与备案</w:t>
      </w:r>
    </w:p>
    <w:p>
      <w:r>
        <w:rPr>
          <w:rFonts w:hint="eastAsia"/>
        </w:rPr>
        <w:t>第十一章质疑处理</w:t>
      </w:r>
    </w:p>
    <w:p/>
    <w:p/>
    <w:p>
      <w:pPr>
        <w:widowControl/>
        <w:jc w:val="left"/>
        <w:rPr>
          <w:rFonts w:ascii="宋体" w:eastAsia="黑体" w:hAnsi="宋体" w:cs="Times New Roman"/>
          <w:b/>
          <w:bCs/>
          <w:color w:val="0000FF"/>
          <w:kern w:val="44"/>
          <w:sz w:val="36"/>
          <w:szCs w:val="44"/>
        </w:rPr>
      </w:pPr>
      <w:r>
        <w:br w:type="page"/>
      </w:r>
    </w:p>
    <w:p>
      <w:pPr>
        <w:keepNext/>
        <w:keepLines/>
        <w:spacing w:before="340" w:after="78" w:afterLines="25" w:line="578" w:lineRule="auto"/>
        <w:jc w:val="center"/>
        <w:outlineLvl w:val="0"/>
        <w:rPr>
          <w:rFonts w:ascii="Arial" w:eastAsia="宋体" w:hAnsi="Arial" w:cs="Times New Roman"/>
          <w:b/>
          <w:bCs/>
          <w:kern w:val="44"/>
          <w:sz w:val="32"/>
          <w:szCs w:val="32"/>
        </w:rPr>
      </w:pPr>
      <w:r>
        <w:rPr>
          <w:rFonts w:ascii="Arial" w:eastAsia="宋体" w:hAnsi="Arial" w:cs="Times New Roman" w:hint="eastAsia"/>
          <w:b/>
          <w:bCs/>
          <w:kern w:val="44"/>
          <w:sz w:val="32"/>
          <w:szCs w:val="32"/>
        </w:rPr>
        <w:t>第一册专用条款</w:t>
      </w:r>
    </w:p>
    <w:p>
      <w:pPr>
        <w:tabs>
          <w:tab w:val="left" w:pos="2790"/>
        </w:tabs>
        <w:snapToGrid w:val="0"/>
        <w:jc w:val="center"/>
        <w:rPr>
          <w:b/>
          <w:sz w:val="24"/>
          <w:szCs w:val="24"/>
        </w:rPr>
      </w:pPr>
      <w:r>
        <w:rPr>
          <w:rFonts w:hint="eastAsia"/>
          <w:b/>
          <w:sz w:val="24"/>
          <w:szCs w:val="24"/>
        </w:rPr>
        <w:t>关键信息</w:t>
      </w:r>
    </w:p>
    <w:p>
      <w:pPr>
        <w:tabs>
          <w:tab w:val="left" w:pos="2790"/>
        </w:tabs>
        <w:snapToGrid w:val="0"/>
        <w:jc w:val="left"/>
        <w:rPr>
          <w:sz w:val="24"/>
          <w:szCs w:val="24"/>
        </w:rPr>
      </w:pPr>
      <w:r>
        <w:rPr>
          <w:sz w:val="24"/>
          <w:szCs w:val="24"/>
        </w:rPr>
        <w:t>项目编号：</w:t>
      </w:r>
      <w:r>
        <w:rPr>
          <w:rFonts w:hint="eastAsia"/>
          <w:sz w:val="24"/>
          <w:szCs w:val="24"/>
        </w:rPr>
        <w:t>BACG2023000328</w:t>
      </w:r>
    </w:p>
    <w:p>
      <w:pPr>
        <w:tabs>
          <w:tab w:val="left" w:pos="2790"/>
        </w:tabs>
        <w:snapToGrid w:val="0"/>
        <w:jc w:val="left"/>
        <w:rPr>
          <w:sz w:val="24"/>
          <w:szCs w:val="24"/>
        </w:rPr>
      </w:pPr>
      <w:r>
        <w:rPr>
          <w:sz w:val="24"/>
          <w:szCs w:val="24"/>
        </w:rPr>
        <w:t>项目名称：</w:t>
      </w:r>
      <w:r>
        <w:rPr>
          <w:rFonts w:hint="eastAsia"/>
          <w:sz w:val="24"/>
          <w:szCs w:val="24"/>
        </w:rPr>
        <w:t>深圳市宝安区石岩街道办事处南光高速市政化改造工程（一期）房屋征收项目专项法律服务</w:t>
      </w:r>
    </w:p>
    <w:p>
      <w:pPr>
        <w:tabs>
          <w:tab w:val="left" w:pos="2790"/>
        </w:tabs>
        <w:snapToGrid w:val="0"/>
        <w:jc w:val="left"/>
        <w:rPr>
          <w:sz w:val="24"/>
          <w:szCs w:val="24"/>
        </w:rPr>
      </w:pPr>
      <w:r>
        <w:rPr>
          <w:rFonts w:hint="eastAsia"/>
          <w:sz w:val="24"/>
          <w:szCs w:val="24"/>
        </w:rPr>
        <w:t>包号：A</w:t>
      </w:r>
    </w:p>
    <w:p>
      <w:pPr>
        <w:tabs>
          <w:tab w:val="left" w:pos="2790"/>
        </w:tabs>
        <w:snapToGrid w:val="0"/>
        <w:jc w:val="left"/>
        <w:rPr>
          <w:sz w:val="24"/>
          <w:szCs w:val="24"/>
        </w:rPr>
      </w:pPr>
      <w:r>
        <w:rPr>
          <w:sz w:val="24"/>
          <w:szCs w:val="24"/>
        </w:rPr>
        <w:t>采购</w:t>
      </w:r>
      <w:r>
        <w:rPr>
          <w:rFonts w:hint="eastAsia"/>
          <w:sz w:val="24"/>
          <w:szCs w:val="24"/>
        </w:rPr>
        <w:t>单位</w:t>
      </w:r>
      <w:r>
        <w:rPr>
          <w:sz w:val="24"/>
          <w:szCs w:val="24"/>
        </w:rPr>
        <w:t>：</w:t>
      </w:r>
      <w:r>
        <w:rPr>
          <w:rFonts w:hint="eastAsia"/>
          <w:sz w:val="24"/>
          <w:szCs w:val="24"/>
        </w:rPr>
        <w:t>深圳市宝安区石岩街道办事处</w:t>
      </w:r>
    </w:p>
    <w:p>
      <w:pPr>
        <w:tabs>
          <w:tab w:val="left" w:pos="2790"/>
        </w:tabs>
        <w:snapToGrid w:val="0"/>
        <w:jc w:val="left"/>
        <w:rPr>
          <w:sz w:val="24"/>
          <w:szCs w:val="24"/>
        </w:rPr>
      </w:pPr>
      <w:r>
        <w:rPr>
          <w:rFonts w:hint="eastAsia"/>
          <w:sz w:val="24"/>
          <w:szCs w:val="24"/>
        </w:rPr>
        <w:t>项目类型：服务类</w:t>
      </w:r>
    </w:p>
    <w:p>
      <w:pPr>
        <w:tabs>
          <w:tab w:val="left" w:pos="2790"/>
        </w:tabs>
        <w:snapToGrid w:val="0"/>
        <w:jc w:val="left"/>
        <w:rPr>
          <w:sz w:val="24"/>
          <w:szCs w:val="24"/>
        </w:rPr>
      </w:pPr>
      <w:r>
        <w:rPr>
          <w:rFonts w:hint="eastAsia"/>
          <w:sz w:val="24"/>
          <w:szCs w:val="24"/>
        </w:rPr>
        <w:t>评审方法：综合评分法；定标方法：授权评审委员会确定中标供应商</w:t>
      </w:r>
    </w:p>
    <w:tbl>
      <w:tblPr>
        <w:tblStyle w:val="TableNormal"/>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75"/>
        <w:gridCol w:w="8229"/>
      </w:tblGrid>
      <w:tr>
        <w:tblPrEx>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9004" w:type="dxa"/>
            <w:gridSpan w:val="2"/>
          </w:tcPr>
          <w:p>
            <w:pPr>
              <w:jc w:val="center"/>
              <w:rPr>
                <w:rFonts w:ascii="Calibri" w:eastAsia="宋体" w:hAnsi="Calibri" w:cs="Times New Roman"/>
                <w:b/>
              </w:rPr>
            </w:pPr>
            <w:r>
              <w:rPr>
                <w:rFonts w:ascii="Calibri" w:eastAsia="宋体" w:hAnsi="Calibri" w:cs="Times New Roman" w:hint="eastAsia"/>
                <w:b/>
              </w:rPr>
              <w:t>资格性检查表</w:t>
            </w:r>
          </w:p>
        </w:tc>
      </w:tr>
      <w:tr>
        <w:tblPrEx>
          <w:tblW w:w="9004" w:type="dxa"/>
          <w:jc w:val="center"/>
          <w:tblLayout w:type="fixed"/>
          <w:tblCellMar>
            <w:top w:w="0" w:type="dxa"/>
            <w:left w:w="108" w:type="dxa"/>
            <w:bottom w:w="0" w:type="dxa"/>
            <w:right w:w="108" w:type="dxa"/>
          </w:tblCellMar>
        </w:tblPrEx>
        <w:trPr>
          <w:jc w:val="center"/>
        </w:trPr>
        <w:tc>
          <w:tcPr>
            <w:tcW w:w="775" w:type="dxa"/>
          </w:tcPr>
          <w:p>
            <w:pPr>
              <w:jc w:val="center"/>
              <w:rPr>
                <w:rFonts w:ascii="Calibri" w:eastAsia="宋体" w:hAnsi="Calibri" w:cs="Times New Roman"/>
              </w:rPr>
            </w:pPr>
            <w:r>
              <w:rPr>
                <w:rFonts w:ascii="Calibri" w:eastAsia="宋体" w:hAnsi="Calibri" w:cs="Times New Roman"/>
              </w:rPr>
              <w:t>1</w:t>
            </w:r>
          </w:p>
        </w:tc>
        <w:tc>
          <w:tcPr>
            <w:tcW w:w="8229" w:type="dxa"/>
          </w:tcPr>
          <w:p>
            <w:pPr>
              <w:rPr>
                <w:rFonts w:ascii="Calibri" w:eastAsia="宋体" w:hAnsi="Calibri" w:cs="Times New Roman"/>
              </w:rPr>
            </w:pPr>
            <w:r>
              <w:rPr>
                <w:rFonts w:ascii="Calibri" w:eastAsia="宋体" w:hAnsi="Calibri" w:cs="Times New Roman" w:hint="eastAsia"/>
              </w:rPr>
              <w:t>投标人符合资格要求，并按要求提供资格证明材料（</w:t>
            </w:r>
            <w:r>
              <w:rPr>
                <w:rFonts w:ascii="Calibri" w:eastAsia="宋体" w:hAnsi="Calibri" w:cs="Times New Roman"/>
              </w:rPr>
              <w:t>详见招标公告</w:t>
            </w:r>
            <w:r>
              <w:rPr>
                <w:rFonts w:ascii="Calibri" w:eastAsia="宋体" w:hAnsi="Calibri" w:cs="Times New Roman" w:hint="eastAsia"/>
              </w:rPr>
              <w:t>投标人资格要求，即申请人的资格要求）。</w:t>
            </w:r>
          </w:p>
        </w:tc>
      </w:tr>
      <w:tr>
        <w:tblPrEx>
          <w:tblW w:w="9004" w:type="dxa"/>
          <w:jc w:val="center"/>
          <w:tblLayout w:type="fixed"/>
          <w:tblCellMar>
            <w:top w:w="0" w:type="dxa"/>
            <w:left w:w="108" w:type="dxa"/>
            <w:bottom w:w="0" w:type="dxa"/>
            <w:right w:w="108" w:type="dxa"/>
          </w:tblCellMar>
        </w:tblPrEx>
        <w:trPr>
          <w:jc w:val="center"/>
        </w:trPr>
        <w:tc>
          <w:tcPr>
            <w:tcW w:w="9004" w:type="dxa"/>
            <w:gridSpan w:val="2"/>
          </w:tcPr>
          <w:p>
            <w:pPr>
              <w:jc w:val="center"/>
              <w:rPr>
                <w:rFonts w:ascii="Calibri" w:eastAsia="宋体" w:hAnsi="Calibri" w:cs="Times New Roman"/>
                <w:b/>
              </w:rPr>
            </w:pPr>
            <w:r>
              <w:rPr>
                <w:rFonts w:ascii="Calibri" w:eastAsia="宋体" w:hAnsi="Calibri" w:cs="Times New Roman" w:hint="eastAsia"/>
                <w:b/>
              </w:rPr>
              <w:t>符合性检查表</w:t>
            </w:r>
          </w:p>
        </w:tc>
      </w:tr>
      <w:tr>
        <w:tblPrEx>
          <w:tblW w:w="9004" w:type="dxa"/>
          <w:jc w:val="center"/>
          <w:tblLayout w:type="fixed"/>
          <w:tblCellMar>
            <w:top w:w="0" w:type="dxa"/>
            <w:left w:w="108" w:type="dxa"/>
            <w:bottom w:w="0" w:type="dxa"/>
            <w:right w:w="108" w:type="dxa"/>
          </w:tblCellMar>
        </w:tblPrEx>
        <w:trPr>
          <w:jc w:val="center"/>
        </w:trPr>
        <w:tc>
          <w:tcPr>
            <w:tcW w:w="775" w:type="dxa"/>
          </w:tcPr>
          <w:p>
            <w:pPr>
              <w:jc w:val="center"/>
              <w:rPr>
                <w:rFonts w:ascii="Calibri" w:eastAsia="宋体" w:hAnsi="Calibri" w:cs="Times New Roman"/>
              </w:rPr>
            </w:pPr>
            <w:r>
              <w:rPr>
                <w:rFonts w:ascii="Calibri" w:eastAsia="宋体" w:hAnsi="Calibri" w:cs="Times New Roman"/>
              </w:rPr>
              <w:t>1</w:t>
            </w:r>
          </w:p>
        </w:tc>
        <w:tc>
          <w:tcPr>
            <w:tcW w:w="8229" w:type="dxa"/>
          </w:tcPr>
          <w:p>
            <w:pPr>
              <w:rPr>
                <w:rFonts w:ascii="Calibri" w:eastAsia="宋体" w:hAnsi="Calibri" w:cs="Times New Roman"/>
                <w:b/>
              </w:rPr>
            </w:pPr>
            <w:r>
              <w:rPr>
                <w:rFonts w:hint="eastAsia"/>
              </w:rPr>
              <w:t>将一个包或一个标段的内容拆开投标；</w:t>
            </w:r>
          </w:p>
        </w:tc>
      </w:tr>
      <w:tr>
        <w:tblPrEx>
          <w:tblW w:w="9004" w:type="dxa"/>
          <w:jc w:val="center"/>
          <w:tblLayout w:type="fixed"/>
          <w:tblCellMar>
            <w:top w:w="0" w:type="dxa"/>
            <w:left w:w="108" w:type="dxa"/>
            <w:bottom w:w="0" w:type="dxa"/>
            <w:right w:w="108" w:type="dxa"/>
          </w:tblCellMar>
        </w:tblPrEx>
        <w:trPr>
          <w:jc w:val="center"/>
        </w:trPr>
        <w:tc>
          <w:tcPr>
            <w:tcW w:w="775" w:type="dxa"/>
          </w:tcPr>
          <w:p>
            <w:pPr>
              <w:jc w:val="center"/>
              <w:rPr>
                <w:rFonts w:ascii="Calibri" w:eastAsia="宋体" w:hAnsi="Calibri" w:cs="Times New Roman"/>
              </w:rPr>
            </w:pPr>
            <w:r>
              <w:rPr>
                <w:rFonts w:ascii="Calibri" w:eastAsia="宋体" w:hAnsi="Calibri" w:cs="Times New Roman"/>
              </w:rPr>
              <w:t>2</w:t>
            </w:r>
          </w:p>
        </w:tc>
        <w:tc>
          <w:tcPr>
            <w:tcW w:w="8229" w:type="dxa"/>
          </w:tcPr>
          <w:p>
            <w:pPr>
              <w:rPr>
                <w:rFonts w:ascii="Calibri" w:eastAsia="宋体" w:hAnsi="Calibri" w:cs="Times New Roman"/>
              </w:rPr>
            </w:pPr>
            <w:r>
              <w:rPr>
                <w:rFonts w:ascii="Calibri" w:eastAsia="宋体" w:hAnsi="Calibri" w:cs="Times New Roman" w:hint="eastAsia"/>
              </w:rPr>
              <w:t>对同一项目投标时，提供两套以上的投标方案（招标文件另有规定的除外）；</w:t>
            </w:r>
          </w:p>
        </w:tc>
      </w:tr>
      <w:tr>
        <w:tblPrEx>
          <w:tblW w:w="9004" w:type="dxa"/>
          <w:jc w:val="center"/>
          <w:tblLayout w:type="fixed"/>
          <w:tblCellMar>
            <w:top w:w="0" w:type="dxa"/>
            <w:left w:w="108" w:type="dxa"/>
            <w:bottom w:w="0" w:type="dxa"/>
            <w:right w:w="108" w:type="dxa"/>
          </w:tblCellMar>
        </w:tblPrEx>
        <w:trPr>
          <w:jc w:val="center"/>
        </w:trPr>
        <w:tc>
          <w:tcPr>
            <w:tcW w:w="775" w:type="dxa"/>
          </w:tcPr>
          <w:p>
            <w:pPr>
              <w:jc w:val="center"/>
              <w:rPr>
                <w:rFonts w:ascii="Calibri" w:eastAsia="宋体" w:hAnsi="Calibri" w:cs="Times New Roman"/>
              </w:rPr>
            </w:pPr>
            <w:r>
              <w:rPr>
                <w:rFonts w:ascii="Calibri" w:eastAsia="宋体" w:hAnsi="Calibri" w:cs="Times New Roman"/>
              </w:rPr>
              <w:t>3</w:t>
            </w:r>
          </w:p>
        </w:tc>
        <w:tc>
          <w:tcPr>
            <w:tcW w:w="8229" w:type="dxa"/>
          </w:tcPr>
          <w:p>
            <w:pPr>
              <w:rPr>
                <w:rFonts w:ascii="Calibri" w:eastAsia="宋体" w:hAnsi="Calibri" w:cs="Times New Roman"/>
              </w:rPr>
            </w:pPr>
            <w:r>
              <w:rPr>
                <w:rFonts w:ascii="Calibri" w:eastAsia="宋体" w:hAnsi="Calibri" w:cs="Times New Roman" w:hint="eastAsia"/>
              </w:rPr>
              <w:t>分项报价或投标总价高于预算金额（最高投标限价）的；</w:t>
            </w:r>
          </w:p>
        </w:tc>
      </w:tr>
      <w:tr>
        <w:tblPrEx>
          <w:tblW w:w="9004" w:type="dxa"/>
          <w:jc w:val="center"/>
          <w:tblLayout w:type="fixed"/>
          <w:tblCellMar>
            <w:top w:w="0" w:type="dxa"/>
            <w:left w:w="108" w:type="dxa"/>
            <w:bottom w:w="0" w:type="dxa"/>
            <w:right w:w="108" w:type="dxa"/>
          </w:tblCellMar>
        </w:tblPrEx>
        <w:trPr>
          <w:jc w:val="center"/>
        </w:trPr>
        <w:tc>
          <w:tcPr>
            <w:tcW w:w="775" w:type="dxa"/>
          </w:tcPr>
          <w:p>
            <w:pPr>
              <w:jc w:val="center"/>
              <w:rPr>
                <w:rFonts w:ascii="Calibri" w:eastAsia="宋体" w:hAnsi="Calibri" w:cs="Times New Roman"/>
              </w:rPr>
            </w:pPr>
            <w:r>
              <w:rPr>
                <w:rFonts w:ascii="Calibri" w:eastAsia="宋体" w:hAnsi="Calibri" w:cs="Times New Roman"/>
              </w:rPr>
              <w:t>4</w:t>
            </w:r>
          </w:p>
        </w:tc>
        <w:tc>
          <w:tcPr>
            <w:tcW w:w="8229" w:type="dxa"/>
          </w:tcPr>
          <w:p>
            <w:pPr>
              <w:rPr>
                <w:rFonts w:ascii="Calibri" w:eastAsia="宋体" w:hAnsi="Calibri" w:cs="Times New Roman"/>
              </w:rPr>
            </w:pPr>
            <w:r>
              <w:rPr>
                <w:rFonts w:ascii="Calibri" w:eastAsia="宋体" w:hAnsi="Calibri" w:cs="Times New Roman"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9004" w:type="dxa"/>
          <w:jc w:val="center"/>
          <w:tblLayout w:type="fixed"/>
          <w:tblCellMar>
            <w:top w:w="0" w:type="dxa"/>
            <w:left w:w="108" w:type="dxa"/>
            <w:bottom w:w="0" w:type="dxa"/>
            <w:right w:w="108" w:type="dxa"/>
          </w:tblCellMar>
        </w:tblPrEx>
        <w:trPr>
          <w:jc w:val="center"/>
        </w:trPr>
        <w:tc>
          <w:tcPr>
            <w:tcW w:w="775" w:type="dxa"/>
          </w:tcPr>
          <w:p>
            <w:pPr>
              <w:jc w:val="center"/>
              <w:rPr>
                <w:rFonts w:ascii="Calibri" w:eastAsia="宋体" w:hAnsi="Calibri" w:cs="Times New Roman"/>
              </w:rPr>
            </w:pPr>
            <w:r>
              <w:rPr>
                <w:rFonts w:ascii="Calibri" w:eastAsia="宋体" w:hAnsi="Calibri" w:cs="Times New Roman"/>
              </w:rPr>
              <w:t>5</w:t>
            </w:r>
          </w:p>
        </w:tc>
        <w:tc>
          <w:tcPr>
            <w:tcW w:w="8229" w:type="dxa"/>
          </w:tcPr>
          <w:p>
            <w:pPr>
              <w:rPr>
                <w:rFonts w:ascii="Calibri" w:eastAsia="宋体" w:hAnsi="Calibri" w:cs="Times New Roman"/>
                <w:b/>
              </w:rPr>
            </w:pPr>
            <w:r>
              <w:rPr>
                <w:rFonts w:ascii="Calibri" w:eastAsia="宋体" w:hAnsi="Calibri" w:cs="Times New Roman" w:hint="eastAsia"/>
                <w:b/>
              </w:rPr>
              <w:t>所投产品、工程、服务在商务、技术等方面没有实质性满足招标文件要求的（即不满足或未响应招标文件中带★号条款或响应有负偏离的）；存在招标文件中列明导致投标无效的其他因素；</w:t>
            </w:r>
          </w:p>
        </w:tc>
      </w:tr>
      <w:tr>
        <w:tblPrEx>
          <w:tblW w:w="9004" w:type="dxa"/>
          <w:jc w:val="center"/>
          <w:tblLayout w:type="fixed"/>
          <w:tblCellMar>
            <w:top w:w="0" w:type="dxa"/>
            <w:left w:w="108" w:type="dxa"/>
            <w:bottom w:w="0" w:type="dxa"/>
            <w:right w:w="108" w:type="dxa"/>
          </w:tblCellMar>
        </w:tblPrEx>
        <w:trPr>
          <w:jc w:val="center"/>
        </w:trPr>
        <w:tc>
          <w:tcPr>
            <w:tcW w:w="775" w:type="dxa"/>
          </w:tcPr>
          <w:p>
            <w:pPr>
              <w:jc w:val="center"/>
              <w:rPr>
                <w:rFonts w:ascii="Calibri" w:eastAsia="宋体" w:hAnsi="Calibri" w:cs="Times New Roman"/>
              </w:rPr>
            </w:pPr>
            <w:r>
              <w:rPr>
                <w:rFonts w:ascii="Calibri" w:eastAsia="宋体" w:hAnsi="Calibri" w:cs="Times New Roman"/>
              </w:rPr>
              <w:t>6</w:t>
            </w:r>
          </w:p>
        </w:tc>
        <w:tc>
          <w:tcPr>
            <w:tcW w:w="8229" w:type="dxa"/>
          </w:tcPr>
          <w:p>
            <w:pPr>
              <w:rPr>
                <w:rFonts w:ascii="Calibri" w:eastAsia="宋体" w:hAnsi="Calibri" w:cs="Times New Roman"/>
                <w:b/>
              </w:rPr>
            </w:pPr>
            <w:r>
              <w:rPr>
                <w:rFonts w:ascii="Calibri" w:eastAsia="宋体" w:hAnsi="Calibri" w:cs="Times New Roman" w:hint="eastAsia"/>
                <w:b/>
              </w:rPr>
              <w:t>未按招标文件所提供的样式填写《投标函》；未按招标文件所提供的《政府采购投标及履约承诺函》进行承诺；未按招标文件对投标文件组成的要求提供投标文件；未按招标文件要求提供《法定代表人（负责人）证明书》及《法定代表人（负责人）授权书》；如投标供应商存在“不同供应商的董事、股东或其他高级管理人员为同一人的”情形的，应承诺不存在串通投标、恶意串通或者视为串通投标的情形</w:t>
            </w:r>
            <w:r>
              <w:rPr>
                <w:rFonts w:ascii="Calibri" w:eastAsia="宋体" w:hAnsi="Calibri" w:cs="Times New Roman" w:hint="eastAsia"/>
                <w:b/>
                <w:bCs/>
              </w:rPr>
              <w:t>（</w:t>
            </w:r>
            <w:r>
              <w:rPr>
                <w:rFonts w:ascii="Calibri" w:eastAsia="宋体" w:hAnsi="Calibri" w:cs="Times New Roman"/>
                <w:b/>
                <w:bCs/>
              </w:rPr>
              <w:t>在《</w:t>
            </w:r>
            <w:r>
              <w:rPr>
                <w:rFonts w:ascii="Calibri" w:eastAsia="宋体" w:hAnsi="Calibri" w:cs="Times New Roman" w:hint="eastAsia"/>
                <w:b/>
                <w:bCs/>
              </w:rPr>
              <w:t>政府采购投标及履约承诺函</w:t>
            </w:r>
            <w:r>
              <w:rPr>
                <w:rFonts w:ascii="Calibri" w:eastAsia="宋体" w:hAnsi="Calibri" w:cs="Times New Roman"/>
                <w:b/>
                <w:bCs/>
              </w:rPr>
              <w:t>》中作出声明</w:t>
            </w:r>
            <w:r>
              <w:rPr>
                <w:rFonts w:ascii="Calibri" w:eastAsia="宋体" w:hAnsi="Calibri" w:cs="Times New Roman" w:hint="eastAsia"/>
                <w:b/>
                <w:bCs/>
              </w:rPr>
              <w:t>）</w:t>
            </w:r>
            <w:r>
              <w:rPr>
                <w:rFonts w:ascii="Calibri" w:eastAsia="宋体" w:hAnsi="Calibri" w:cs="Times New Roman" w:hint="eastAsia"/>
                <w:b/>
              </w:rPr>
              <w:t>。</w:t>
            </w:r>
          </w:p>
        </w:tc>
      </w:tr>
      <w:tr>
        <w:tblPrEx>
          <w:tblW w:w="9004" w:type="dxa"/>
          <w:jc w:val="center"/>
          <w:tblLayout w:type="fixed"/>
          <w:tblCellMar>
            <w:top w:w="0" w:type="dxa"/>
            <w:left w:w="108" w:type="dxa"/>
            <w:bottom w:w="0" w:type="dxa"/>
            <w:right w:w="108" w:type="dxa"/>
          </w:tblCellMar>
        </w:tblPrEx>
        <w:trPr>
          <w:jc w:val="center"/>
        </w:trPr>
        <w:tc>
          <w:tcPr>
            <w:tcW w:w="775" w:type="dxa"/>
          </w:tcPr>
          <w:p>
            <w:pPr>
              <w:jc w:val="center"/>
              <w:rPr>
                <w:rFonts w:ascii="Calibri" w:eastAsia="宋体" w:hAnsi="Calibri" w:cs="Times New Roman"/>
              </w:rPr>
            </w:pPr>
            <w:r>
              <w:rPr>
                <w:rFonts w:ascii="Calibri" w:eastAsia="宋体" w:hAnsi="Calibri" w:cs="Times New Roman"/>
              </w:rPr>
              <w:t>7</w:t>
            </w:r>
          </w:p>
        </w:tc>
        <w:tc>
          <w:tcPr>
            <w:tcW w:w="8229" w:type="dxa"/>
          </w:tcPr>
          <w:p>
            <w:pPr>
              <w:rPr>
                <w:rFonts w:ascii="Calibri" w:eastAsia="宋体" w:hAnsi="Calibri" w:cs="Times New Roman"/>
                <w:b/>
              </w:rPr>
            </w:pPr>
            <w:r>
              <w:rPr>
                <w:rFonts w:hint="eastAsia"/>
                <w:b/>
              </w:rPr>
              <w:t>投标报价有缺漏项目,或者对招标文件规定的项目需求内容或者需求数量进行修改；投标报价不符合</w:t>
            </w:r>
            <w:r>
              <w:rPr>
                <w:rFonts w:ascii="Calibri" w:eastAsia="宋体" w:hAnsi="Calibri" w:cs="Times New Roman"/>
                <w:b/>
              </w:rPr>
              <w:t>国家、深圳市相关规定的标准要求</w:t>
            </w:r>
            <w:r>
              <w:rPr>
                <w:rFonts w:ascii="Calibri" w:eastAsia="宋体" w:hAnsi="Calibri" w:cs="Times New Roman" w:hint="eastAsia"/>
                <w:b/>
              </w:rPr>
              <w:t>；</w:t>
            </w:r>
          </w:p>
        </w:tc>
      </w:tr>
      <w:tr>
        <w:tblPrEx>
          <w:tblW w:w="9004" w:type="dxa"/>
          <w:jc w:val="center"/>
          <w:tblLayout w:type="fixed"/>
          <w:tblCellMar>
            <w:top w:w="0" w:type="dxa"/>
            <w:left w:w="108" w:type="dxa"/>
            <w:bottom w:w="0" w:type="dxa"/>
            <w:right w:w="108" w:type="dxa"/>
          </w:tblCellMar>
        </w:tblPrEx>
        <w:trPr>
          <w:jc w:val="center"/>
        </w:trPr>
        <w:tc>
          <w:tcPr>
            <w:tcW w:w="775" w:type="dxa"/>
          </w:tcPr>
          <w:p>
            <w:pPr>
              <w:jc w:val="center"/>
              <w:rPr>
                <w:rFonts w:ascii="Calibri" w:eastAsia="宋体" w:hAnsi="Calibri" w:cs="Times New Roman"/>
              </w:rPr>
            </w:pPr>
            <w:r>
              <w:rPr>
                <w:rFonts w:ascii="Calibri" w:eastAsia="宋体" w:hAnsi="Calibri" w:cs="Times New Roman"/>
              </w:rPr>
              <w:t>8</w:t>
            </w:r>
          </w:p>
        </w:tc>
        <w:tc>
          <w:tcPr>
            <w:tcW w:w="8229" w:type="dxa"/>
          </w:tcPr>
          <w:p>
            <w:pPr>
              <w:widowControl/>
              <w:jc w:val="left"/>
              <w:textAlignment w:val="top"/>
              <w:rPr>
                <w:szCs w:val="21"/>
              </w:rPr>
            </w:pPr>
            <w:r>
              <w:rPr>
                <w:rFonts w:hint="eastAsia"/>
              </w:rPr>
              <w:t>投标文件存在列放位置错误，导致属于信息公开情形的没有被公开；</w:t>
            </w:r>
          </w:p>
        </w:tc>
      </w:tr>
      <w:tr>
        <w:tblPrEx>
          <w:tblW w:w="9004" w:type="dxa"/>
          <w:jc w:val="center"/>
          <w:tblLayout w:type="fixed"/>
          <w:tblCellMar>
            <w:top w:w="0" w:type="dxa"/>
            <w:left w:w="108" w:type="dxa"/>
            <w:bottom w:w="0" w:type="dxa"/>
            <w:right w:w="108" w:type="dxa"/>
          </w:tblCellMar>
        </w:tblPrEx>
        <w:trPr>
          <w:jc w:val="center"/>
        </w:trPr>
        <w:tc>
          <w:tcPr>
            <w:tcW w:w="775" w:type="dxa"/>
          </w:tcPr>
          <w:p>
            <w:pPr>
              <w:jc w:val="center"/>
              <w:rPr>
                <w:rFonts w:ascii="Calibri" w:eastAsia="宋体" w:hAnsi="Calibri" w:cs="Times New Roman"/>
              </w:rPr>
            </w:pPr>
            <w:r>
              <w:rPr>
                <w:rFonts w:ascii="Calibri" w:eastAsia="宋体" w:hAnsi="Calibri" w:cs="Times New Roman"/>
              </w:rPr>
              <w:t>9</w:t>
            </w:r>
          </w:p>
        </w:tc>
        <w:tc>
          <w:tcPr>
            <w:tcW w:w="8229" w:type="dxa"/>
          </w:tcPr>
          <w:p>
            <w:pPr>
              <w:widowControl/>
              <w:jc w:val="left"/>
              <w:textAlignment w:val="top"/>
              <w:rPr>
                <w:szCs w:val="21"/>
              </w:rPr>
            </w:pPr>
            <w:r>
              <w:rPr>
                <w:rFonts w:hint="eastAsia"/>
              </w:rPr>
              <w:t>投标文件电子文档带病毒；</w:t>
            </w:r>
          </w:p>
        </w:tc>
      </w:tr>
      <w:tr>
        <w:tblPrEx>
          <w:tblW w:w="9004" w:type="dxa"/>
          <w:jc w:val="center"/>
          <w:tblLayout w:type="fixed"/>
          <w:tblCellMar>
            <w:top w:w="0" w:type="dxa"/>
            <w:left w:w="108" w:type="dxa"/>
            <w:bottom w:w="0" w:type="dxa"/>
            <w:right w:w="108" w:type="dxa"/>
          </w:tblCellMar>
        </w:tblPrEx>
        <w:trPr>
          <w:jc w:val="center"/>
        </w:trPr>
        <w:tc>
          <w:tcPr>
            <w:tcW w:w="775" w:type="dxa"/>
          </w:tcPr>
          <w:p>
            <w:pPr>
              <w:jc w:val="center"/>
              <w:rPr>
                <w:rFonts w:ascii="Calibri" w:eastAsia="宋体" w:hAnsi="Calibri" w:cs="Times New Roman"/>
              </w:rPr>
            </w:pPr>
            <w:r>
              <w:rPr>
                <w:rFonts w:ascii="Calibri" w:eastAsia="宋体" w:hAnsi="Calibri" w:cs="Times New Roman"/>
              </w:rPr>
              <w:t>10</w:t>
            </w:r>
          </w:p>
        </w:tc>
        <w:tc>
          <w:tcPr>
            <w:tcW w:w="8229" w:type="dxa"/>
          </w:tcPr>
          <w:p>
            <w:pPr>
              <w:widowControl/>
              <w:jc w:val="left"/>
              <w:textAlignment w:val="top"/>
              <w:rPr>
                <w:rFonts w:ascii="宋体" w:eastAsia="宋体" w:hAnsi="宋体"/>
                <w:b/>
                <w:color w:val="FF0000"/>
                <w:szCs w:val="21"/>
              </w:rPr>
            </w:pPr>
            <w:r>
              <w:rPr>
                <w:rFonts w:ascii="宋体" w:eastAsia="宋体" w:hAnsi="宋体" w:hint="eastAsia"/>
                <w:b/>
              </w:rPr>
              <w:t>投标文件用不属于本公司（单位）的电子密钥进行加密的；经核实，不同投标供应商的投标文件由同一电子设备编制、加密或者上传的；</w:t>
            </w:r>
            <w:r>
              <w:rPr>
                <w:rFonts w:ascii="宋体" w:eastAsia="宋体" w:hAnsi="宋体"/>
                <w:b/>
                <w:color w:val="FF0000"/>
              </w:rPr>
              <w:t>不同投标供应商投标文件“文件制作机器码”一致的；不同投标供应商投标文件“文件创建标识码”一致的；</w:t>
            </w:r>
          </w:p>
        </w:tc>
      </w:tr>
      <w:tr>
        <w:tblPrEx>
          <w:tblW w:w="9004" w:type="dxa"/>
          <w:jc w:val="center"/>
          <w:tblLayout w:type="fixed"/>
          <w:tblCellMar>
            <w:top w:w="0" w:type="dxa"/>
            <w:left w:w="108" w:type="dxa"/>
            <w:bottom w:w="0" w:type="dxa"/>
            <w:right w:w="108" w:type="dxa"/>
          </w:tblCellMar>
        </w:tblPrEx>
        <w:trPr>
          <w:jc w:val="center"/>
        </w:trPr>
        <w:tc>
          <w:tcPr>
            <w:tcW w:w="775" w:type="dxa"/>
          </w:tcPr>
          <w:p>
            <w:pPr>
              <w:jc w:val="center"/>
              <w:rPr>
                <w:rFonts w:ascii="Calibri" w:eastAsia="宋体" w:hAnsi="Calibri" w:cs="Times New Roman"/>
              </w:rPr>
            </w:pPr>
            <w:r>
              <w:rPr>
                <w:rFonts w:ascii="Calibri" w:eastAsia="宋体" w:hAnsi="Calibri" w:cs="Times New Roman"/>
              </w:rPr>
              <w:t>11</w:t>
            </w:r>
          </w:p>
        </w:tc>
        <w:tc>
          <w:tcPr>
            <w:tcW w:w="8229" w:type="dxa"/>
          </w:tcPr>
          <w:p>
            <w:pPr>
              <w:widowControl/>
              <w:jc w:val="left"/>
              <w:textAlignment w:val="top"/>
              <w:rPr>
                <w:szCs w:val="21"/>
              </w:rPr>
            </w:pPr>
            <w:r>
              <w:rPr>
                <w:rFonts w:hint="eastAsia"/>
              </w:rPr>
              <w:t>误选了非本项目的最新加密规则文件，导致投标文件不能在开标时解密；</w:t>
            </w:r>
          </w:p>
        </w:tc>
      </w:tr>
      <w:tr>
        <w:tblPrEx>
          <w:tblW w:w="9004" w:type="dxa"/>
          <w:jc w:val="center"/>
          <w:tblLayout w:type="fixed"/>
          <w:tblCellMar>
            <w:top w:w="0" w:type="dxa"/>
            <w:left w:w="108" w:type="dxa"/>
            <w:bottom w:w="0" w:type="dxa"/>
            <w:right w:w="108" w:type="dxa"/>
          </w:tblCellMar>
        </w:tblPrEx>
        <w:trPr>
          <w:jc w:val="center"/>
        </w:trPr>
        <w:tc>
          <w:tcPr>
            <w:tcW w:w="775" w:type="dxa"/>
          </w:tcPr>
          <w:p>
            <w:pPr>
              <w:jc w:val="center"/>
              <w:rPr>
                <w:rFonts w:ascii="Calibri" w:eastAsia="宋体" w:hAnsi="Calibri" w:cs="Times New Roman"/>
              </w:rPr>
            </w:pPr>
            <w:r>
              <w:rPr>
                <w:rFonts w:ascii="Calibri" w:eastAsia="宋体" w:hAnsi="Calibri" w:cs="Times New Roman" w:hint="eastAsia"/>
              </w:rPr>
              <w:t>12</w:t>
            </w:r>
          </w:p>
        </w:tc>
        <w:tc>
          <w:tcPr>
            <w:tcW w:w="8229" w:type="dxa"/>
          </w:tcPr>
          <w:p>
            <w:pPr>
              <w:widowControl/>
              <w:jc w:val="left"/>
              <w:textAlignment w:val="top"/>
              <w:rPr>
                <w:szCs w:val="21"/>
              </w:rPr>
            </w:pPr>
            <w:r>
              <w:rPr>
                <w:rFonts w:hint="eastAsia"/>
              </w:rPr>
              <w:t>法律、法规规定的其他情形。</w:t>
            </w:r>
          </w:p>
        </w:tc>
      </w:tr>
    </w:tbl>
    <w:p>
      <w:pPr>
        <w:jc w:val="center"/>
        <w:rPr>
          <w:b/>
        </w:rPr>
      </w:pPr>
      <w:r>
        <w:rPr>
          <w:rFonts w:hint="eastAsia"/>
          <w:b/>
        </w:rPr>
        <w:t>评标信息</w:t>
      </w:r>
    </w:p>
    <w:p>
      <w:pPr>
        <w:pStyle w:val="NormalWeb"/>
        <w:snapToGrid w:val="0"/>
        <w:spacing w:before="0" w:beforeAutospacing="0" w:afterAutospacing="0"/>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pPr>
        <w:pStyle w:val="NormalWeb"/>
        <w:snapToGrid w:val="0"/>
        <w:spacing w:before="0" w:beforeAutospacing="0" w:afterAutospacing="0"/>
        <w:ind w:firstLine="420"/>
        <w:rPr>
          <w:sz w:val="21"/>
          <w:szCs w:val="21"/>
        </w:rPr>
      </w:pPr>
      <w:r>
        <w:rPr>
          <w:sz w:val="21"/>
          <w:szCs w:val="21"/>
        </w:rPr>
        <w:t>价格分计算方法：</w:t>
      </w:r>
    </w:p>
    <w:p>
      <w:pPr>
        <w:snapToGrid w:val="0"/>
      </w:pPr>
      <w:r>
        <w:rPr>
          <w:szCs w:val="21"/>
        </w:rPr>
        <w:t>采用低价优先法计算，即满足招标文件要求且投标价格最低的投标报价为评标基准价，其价格分为满分。其他投标人的价格分统一按照下列公式计算：</w:t>
      </w:r>
      <w:r>
        <w:rPr>
          <w:szCs w:val="21"/>
        </w:rPr>
        <w:br/>
      </w:r>
      <w:r>
        <w:rPr>
          <w:szCs w:val="21"/>
        </w:rPr>
        <w:t xml:space="preserve">投标报价得分=(评标基准价／投标报价)×100 </w:t>
      </w:r>
      <w:r>
        <w:rPr>
          <w:szCs w:val="21"/>
        </w:rPr>
        <w:br/>
      </w:r>
      <w:r>
        <w:rPr>
          <w:szCs w:val="21"/>
        </w:rPr>
        <w:t xml:space="preserve">评标总得分＝F1×A1＋F2×A2＋……＋Fn×An </w:t>
      </w:r>
      <w:r>
        <w:rPr>
          <w:szCs w:val="21"/>
        </w:rPr>
        <w:br/>
      </w:r>
      <w:r>
        <w:rPr>
          <w:szCs w:val="21"/>
        </w:rPr>
        <w:t>F1、F2……Fn分别为各项评审因素的得分；</w:t>
      </w:r>
      <w:r>
        <w:rPr>
          <w:szCs w:val="21"/>
        </w:rPr>
        <w:br/>
      </w:r>
      <w:r>
        <w:rPr>
          <w:szCs w:val="21"/>
        </w:rPr>
        <w:t>A1、A2、……An 分别为各项评审因素所占的权重(A1＋A2＋……＋An＝1)。</w:t>
      </w:r>
      <w:r>
        <w:rPr>
          <w:szCs w:val="21"/>
        </w:rPr>
        <w:br/>
      </w:r>
      <w:r>
        <w:rPr>
          <w:szCs w:val="21"/>
        </w:rPr>
        <w:t>评标过程中，不得去掉报价中的最高报价和最低报价。</w:t>
      </w:r>
      <w:r>
        <w:rPr>
          <w:szCs w:val="21"/>
        </w:rPr>
        <w:br/>
      </w:r>
      <w:r>
        <w:rPr>
          <w:szCs w:val="21"/>
        </w:rPr>
        <w:t>此方法适用于货物类、服务类、工程类项目。</w:t>
      </w:r>
    </w:p>
    <w:p/>
    <w:tbl>
      <w:tblPr>
        <w:tblStyle w:val="TableNormal"/>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92"/>
        <w:gridCol w:w="727"/>
        <w:gridCol w:w="1698"/>
        <w:gridCol w:w="445"/>
        <w:gridCol w:w="6217"/>
      </w:tblGrid>
      <w:tr>
        <w:tblPrEx>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692" w:type="dxa"/>
            <w:tcBorders>
              <w:top w:val="single" w:sz="4" w:space="0" w:color="auto"/>
              <w:left w:val="single" w:sz="4" w:space="0" w:color="auto"/>
              <w:bottom w:val="single" w:sz="4" w:space="0" w:color="auto"/>
              <w:right w:val="single" w:sz="4" w:space="0" w:color="auto"/>
            </w:tcBorders>
            <w:vAlign w:val="center"/>
          </w:tcPr>
          <w:p>
            <w:pPr>
              <w:spacing w:after="60"/>
              <w:jc w:val="center"/>
              <w:rPr>
                <w:rFonts w:ascii="宋体" w:eastAsia="宋体" w:hAnsi="宋体"/>
                <w:b/>
                <w:szCs w:val="21"/>
              </w:rPr>
            </w:pPr>
            <w:r>
              <w:rPr>
                <w:rFonts w:ascii="宋体" w:hAnsi="宋体" w:hint="eastAsia"/>
                <w:b/>
              </w:rPr>
              <w:t>序号</w:t>
            </w:r>
          </w:p>
        </w:tc>
        <w:tc>
          <w:tcPr>
            <w:tcW w:w="2870" w:type="dxa"/>
            <w:gridSpan w:val="3"/>
            <w:tcBorders>
              <w:top w:val="single" w:sz="4" w:space="0" w:color="auto"/>
              <w:left w:val="single" w:sz="4" w:space="0" w:color="auto"/>
              <w:bottom w:val="single" w:sz="4" w:space="0" w:color="auto"/>
              <w:right w:val="single" w:sz="4" w:space="0" w:color="auto"/>
            </w:tcBorders>
            <w:vAlign w:val="center"/>
          </w:tcPr>
          <w:p>
            <w:pPr>
              <w:spacing w:after="60"/>
              <w:jc w:val="center"/>
              <w:rPr>
                <w:rFonts w:ascii="宋体" w:eastAsia="宋体" w:hAnsi="宋体"/>
                <w:b/>
                <w:szCs w:val="21"/>
              </w:rPr>
            </w:pPr>
            <w:r>
              <w:rPr>
                <w:rFonts w:ascii="宋体" w:hAnsi="宋体" w:hint="eastAsia"/>
                <w:b/>
              </w:rPr>
              <w:t>评分项</w:t>
            </w:r>
          </w:p>
        </w:tc>
        <w:tc>
          <w:tcPr>
            <w:tcW w:w="6217" w:type="dxa"/>
            <w:tcBorders>
              <w:top w:val="single" w:sz="4" w:space="0" w:color="auto"/>
              <w:left w:val="single" w:sz="4" w:space="0" w:color="auto"/>
              <w:bottom w:val="single" w:sz="4" w:space="0" w:color="auto"/>
              <w:right w:val="single" w:sz="4" w:space="0" w:color="auto"/>
            </w:tcBorders>
            <w:vAlign w:val="center"/>
          </w:tcPr>
          <w:p>
            <w:pPr>
              <w:spacing w:after="60"/>
              <w:jc w:val="center"/>
              <w:rPr>
                <w:rFonts w:ascii="宋体" w:eastAsia="宋体" w:hAnsi="宋体"/>
                <w:b/>
                <w:szCs w:val="21"/>
              </w:rPr>
            </w:pPr>
            <w:r>
              <w:rPr>
                <w:rFonts w:ascii="宋体" w:hAnsi="宋体" w:hint="eastAsia"/>
                <w:b/>
              </w:rPr>
              <w:t>权重</w:t>
            </w:r>
          </w:p>
        </w:tc>
      </w:tr>
      <w:tr>
        <w:tblPrEx>
          <w:tblW w:w="9779" w:type="dxa"/>
          <w:jc w:val="center"/>
          <w:tblLayout w:type="fixed"/>
          <w:tblCellMar>
            <w:top w:w="0" w:type="dxa"/>
            <w:left w:w="108" w:type="dxa"/>
            <w:bottom w:w="0" w:type="dxa"/>
            <w:right w:w="108" w:type="dxa"/>
          </w:tblCellMar>
        </w:tblPrEx>
        <w:trPr>
          <w:jc w:val="center"/>
        </w:trPr>
        <w:tc>
          <w:tcPr>
            <w:tcW w:w="692" w:type="dxa"/>
            <w:tcBorders>
              <w:top w:val="single" w:sz="4" w:space="0" w:color="auto"/>
              <w:left w:val="single" w:sz="4" w:space="0" w:color="auto"/>
              <w:bottom w:val="single" w:sz="4" w:space="0" w:color="auto"/>
              <w:right w:val="single" w:sz="4" w:space="0" w:color="auto"/>
            </w:tcBorders>
            <w:vAlign w:val="center"/>
          </w:tcPr>
          <w:p>
            <w:pPr>
              <w:spacing w:after="60"/>
              <w:jc w:val="center"/>
              <w:rPr>
                <w:rFonts w:ascii="宋体" w:eastAsia="宋体" w:hAnsi="宋体"/>
                <w:b/>
                <w:szCs w:val="21"/>
              </w:rPr>
            </w:pPr>
            <w:r>
              <w:rPr>
                <w:rFonts w:ascii="宋体" w:hAnsi="宋体" w:hint="eastAsia"/>
                <w:b/>
              </w:rPr>
              <w:t>1</w:t>
            </w:r>
          </w:p>
        </w:tc>
        <w:tc>
          <w:tcPr>
            <w:tcW w:w="2870" w:type="dxa"/>
            <w:gridSpan w:val="3"/>
            <w:tcBorders>
              <w:top w:val="single" w:sz="4" w:space="0" w:color="auto"/>
              <w:left w:val="single" w:sz="4" w:space="0" w:color="auto"/>
              <w:bottom w:val="single" w:sz="4" w:space="0" w:color="auto"/>
              <w:right w:val="single" w:sz="4" w:space="0" w:color="auto"/>
            </w:tcBorders>
            <w:vAlign w:val="center"/>
          </w:tcPr>
          <w:p>
            <w:pPr>
              <w:spacing w:after="60"/>
              <w:jc w:val="center"/>
              <w:rPr>
                <w:rFonts w:ascii="宋体" w:eastAsia="宋体" w:hAnsi="宋体"/>
                <w:b/>
                <w:szCs w:val="21"/>
              </w:rPr>
            </w:pPr>
            <w:r>
              <w:rPr>
                <w:rFonts w:ascii="宋体" w:hAnsi="宋体" w:hint="eastAsia"/>
                <w:b/>
              </w:rPr>
              <w:t>价格</w:t>
            </w:r>
          </w:p>
        </w:tc>
        <w:tc>
          <w:tcPr>
            <w:tcW w:w="6217" w:type="dxa"/>
            <w:tcBorders>
              <w:top w:val="single" w:sz="4" w:space="0" w:color="auto"/>
              <w:left w:val="single" w:sz="4" w:space="0" w:color="auto"/>
              <w:bottom w:val="single" w:sz="4" w:space="0" w:color="auto"/>
              <w:right w:val="single" w:sz="4" w:space="0" w:color="auto"/>
            </w:tcBorders>
            <w:vAlign w:val="center"/>
          </w:tcPr>
          <w:p>
            <w:pPr>
              <w:spacing w:after="60"/>
              <w:jc w:val="center"/>
              <w:rPr>
                <w:rFonts w:ascii="宋体" w:eastAsia="宋体" w:hAnsi="宋体"/>
                <w:b/>
                <w:szCs w:val="21"/>
              </w:rPr>
            </w:pPr>
            <w:r>
              <w:rPr>
                <w:rFonts w:ascii="宋体" w:hAnsi="宋体" w:hint="eastAsia"/>
                <w:b/>
              </w:rPr>
              <w:t>10</w:t>
            </w:r>
          </w:p>
        </w:tc>
      </w:tr>
      <w:tr>
        <w:tblPrEx>
          <w:tblW w:w="9779" w:type="dxa"/>
          <w:jc w:val="center"/>
          <w:tblLayout w:type="fixed"/>
          <w:tblCellMar>
            <w:top w:w="0" w:type="dxa"/>
            <w:left w:w="108" w:type="dxa"/>
            <w:bottom w:w="0" w:type="dxa"/>
            <w:right w:w="108" w:type="dxa"/>
          </w:tblCellMar>
        </w:tblPrEx>
        <w:trPr>
          <w:jc w:val="center"/>
        </w:trPr>
        <w:tc>
          <w:tcPr>
            <w:tcW w:w="692" w:type="dxa"/>
            <w:vMerge w:val="restart"/>
            <w:tcBorders>
              <w:top w:val="nil"/>
              <w:left w:val="single" w:sz="4" w:space="0" w:color="auto"/>
              <w:bottom w:val="single" w:sz="4" w:space="0" w:color="auto"/>
              <w:right w:val="single" w:sz="4" w:space="0" w:color="auto"/>
            </w:tcBorders>
            <w:vAlign w:val="center"/>
          </w:tcPr>
          <w:p>
            <w:pPr>
              <w:spacing w:after="60"/>
              <w:jc w:val="center"/>
              <w:rPr>
                <w:rFonts w:ascii="宋体" w:eastAsia="宋体" w:hAnsi="宋体"/>
                <w:b/>
                <w:szCs w:val="21"/>
              </w:rPr>
            </w:pPr>
            <w:r>
              <w:rPr>
                <w:rFonts w:ascii="宋体" w:hAnsi="宋体" w:hint="eastAsia"/>
                <w:b/>
              </w:rPr>
              <w:t>2</w:t>
            </w:r>
          </w:p>
        </w:tc>
        <w:tc>
          <w:tcPr>
            <w:tcW w:w="2870" w:type="dxa"/>
            <w:gridSpan w:val="3"/>
            <w:tcBorders>
              <w:top w:val="single" w:sz="4" w:space="0" w:color="auto"/>
              <w:left w:val="single" w:sz="4" w:space="0" w:color="auto"/>
              <w:bottom w:val="single" w:sz="4" w:space="0" w:color="auto"/>
              <w:right w:val="single" w:sz="4" w:space="0" w:color="auto"/>
            </w:tcBorders>
            <w:vAlign w:val="center"/>
          </w:tcPr>
          <w:p>
            <w:pPr>
              <w:spacing w:after="60"/>
              <w:jc w:val="center"/>
              <w:rPr>
                <w:rFonts w:ascii="宋体" w:eastAsia="宋体" w:hAnsi="宋体"/>
                <w:b/>
                <w:szCs w:val="21"/>
              </w:rPr>
            </w:pPr>
            <w:r>
              <w:rPr>
                <w:rFonts w:ascii="宋体" w:hAnsi="宋体" w:hint="eastAsia"/>
                <w:b/>
              </w:rPr>
              <w:t>技术部分</w:t>
            </w:r>
          </w:p>
        </w:tc>
        <w:tc>
          <w:tcPr>
            <w:tcW w:w="6217" w:type="dxa"/>
            <w:tcBorders>
              <w:top w:val="single" w:sz="4" w:space="0" w:color="auto"/>
              <w:left w:val="single" w:sz="4" w:space="0" w:color="auto"/>
              <w:bottom w:val="single" w:sz="4" w:space="0" w:color="auto"/>
              <w:right w:val="single" w:sz="4" w:space="0" w:color="auto"/>
            </w:tcBorders>
            <w:vAlign w:val="center"/>
          </w:tcPr>
          <w:p>
            <w:pPr>
              <w:spacing w:after="60"/>
              <w:jc w:val="center"/>
              <w:rPr>
                <w:rFonts w:ascii="宋体" w:eastAsia="宋体" w:hAnsi="宋体"/>
                <w:b/>
                <w:szCs w:val="21"/>
              </w:rPr>
            </w:pPr>
            <w:r>
              <w:rPr>
                <w:rFonts w:ascii="宋体" w:hAnsi="宋体" w:hint="eastAsia"/>
                <w:b/>
              </w:rPr>
              <w:t>50</w:t>
            </w:r>
          </w:p>
        </w:tc>
      </w:tr>
      <w:tr>
        <w:tblPrEx>
          <w:tblW w:w="9779" w:type="dxa"/>
          <w:jc w:val="center"/>
          <w:tblLayout w:type="fixed"/>
          <w:tblCellMar>
            <w:top w:w="0" w:type="dxa"/>
            <w:left w:w="108" w:type="dxa"/>
            <w:bottom w:w="0" w:type="dxa"/>
            <w:right w:w="108" w:type="dxa"/>
          </w:tblCellMar>
        </w:tblPrEx>
        <w:trPr>
          <w:jc w:val="center"/>
        </w:trPr>
        <w:tc>
          <w:tcPr>
            <w:tcW w:w="692"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b/>
                <w:szCs w:val="21"/>
              </w:rPr>
            </w:pPr>
          </w:p>
        </w:tc>
        <w:tc>
          <w:tcPr>
            <w:tcW w:w="727" w:type="dxa"/>
            <w:tcBorders>
              <w:top w:val="single" w:sz="4" w:space="0" w:color="auto"/>
              <w:left w:val="single" w:sz="4" w:space="0" w:color="auto"/>
              <w:bottom w:val="single" w:sz="4" w:space="0" w:color="auto"/>
              <w:right w:val="single" w:sz="4" w:space="0" w:color="auto"/>
            </w:tcBorders>
            <w:vAlign w:val="center"/>
          </w:tcPr>
          <w:p>
            <w:pPr>
              <w:spacing w:after="60"/>
              <w:jc w:val="center"/>
              <w:rPr>
                <w:rFonts w:ascii="宋体" w:eastAsia="宋体" w:hAnsi="宋体"/>
                <w:b/>
                <w:szCs w:val="21"/>
              </w:rPr>
            </w:pPr>
            <w:r>
              <w:rPr>
                <w:rFonts w:ascii="宋体" w:hAnsi="宋体" w:hint="eastAsia"/>
                <w:b/>
              </w:rPr>
              <w:t>序号</w:t>
            </w:r>
          </w:p>
        </w:tc>
        <w:tc>
          <w:tcPr>
            <w:tcW w:w="1698" w:type="dxa"/>
            <w:tcBorders>
              <w:top w:val="single" w:sz="4" w:space="0" w:color="auto"/>
              <w:left w:val="single" w:sz="4" w:space="0" w:color="auto"/>
              <w:bottom w:val="single" w:sz="4" w:space="0" w:color="auto"/>
              <w:right w:val="single" w:sz="4" w:space="0" w:color="auto"/>
            </w:tcBorders>
            <w:vAlign w:val="center"/>
          </w:tcPr>
          <w:p>
            <w:pPr>
              <w:spacing w:after="60"/>
              <w:jc w:val="center"/>
              <w:rPr>
                <w:rFonts w:ascii="宋体" w:eastAsia="宋体" w:hAnsi="宋体"/>
                <w:b/>
                <w:szCs w:val="21"/>
              </w:rPr>
            </w:pPr>
            <w:r>
              <w:rPr>
                <w:rFonts w:ascii="宋体" w:hAnsi="宋体" w:hint="eastAsia"/>
                <w:b/>
              </w:rPr>
              <w:t>评分因素</w:t>
            </w:r>
          </w:p>
        </w:tc>
        <w:tc>
          <w:tcPr>
            <w:tcW w:w="445" w:type="dxa"/>
            <w:tcBorders>
              <w:top w:val="single" w:sz="4" w:space="0" w:color="auto"/>
              <w:left w:val="single" w:sz="4" w:space="0" w:color="auto"/>
              <w:bottom w:val="single" w:sz="4" w:space="0" w:color="auto"/>
              <w:right w:val="single" w:sz="4" w:space="0" w:color="auto"/>
            </w:tcBorders>
            <w:vAlign w:val="center"/>
          </w:tcPr>
          <w:p>
            <w:pPr>
              <w:spacing w:after="60"/>
              <w:jc w:val="center"/>
              <w:rPr>
                <w:rFonts w:ascii="宋体" w:eastAsia="宋体" w:hAnsi="宋体"/>
                <w:b/>
                <w:szCs w:val="21"/>
              </w:rPr>
            </w:pPr>
            <w:r>
              <w:rPr>
                <w:rFonts w:ascii="宋体" w:hAnsi="宋体" w:hint="eastAsia"/>
                <w:b/>
              </w:rPr>
              <w:t>权重</w:t>
            </w:r>
          </w:p>
        </w:tc>
        <w:tc>
          <w:tcPr>
            <w:tcW w:w="6217" w:type="dxa"/>
            <w:tcBorders>
              <w:top w:val="single" w:sz="4" w:space="0" w:color="auto"/>
              <w:left w:val="single" w:sz="4" w:space="0" w:color="auto"/>
              <w:bottom w:val="single" w:sz="4" w:space="0" w:color="auto"/>
              <w:right w:val="single" w:sz="4" w:space="0" w:color="auto"/>
            </w:tcBorders>
            <w:vAlign w:val="center"/>
          </w:tcPr>
          <w:p>
            <w:pPr>
              <w:spacing w:after="60"/>
              <w:jc w:val="center"/>
              <w:rPr>
                <w:rFonts w:ascii="宋体" w:eastAsia="宋体" w:hAnsi="宋体"/>
                <w:b/>
                <w:szCs w:val="21"/>
              </w:rPr>
            </w:pPr>
            <w:r>
              <w:rPr>
                <w:rFonts w:ascii="宋体" w:hAnsi="宋体" w:hint="eastAsia"/>
                <w:b/>
              </w:rPr>
              <w:t>评分准则</w:t>
            </w:r>
          </w:p>
        </w:tc>
      </w:tr>
      <w:tr>
        <w:tblPrEx>
          <w:tblW w:w="9779" w:type="dxa"/>
          <w:jc w:val="center"/>
          <w:tblLayout w:type="fixed"/>
          <w:tblCellMar>
            <w:top w:w="0" w:type="dxa"/>
            <w:left w:w="108" w:type="dxa"/>
            <w:bottom w:w="0" w:type="dxa"/>
            <w:right w:w="108" w:type="dxa"/>
          </w:tblCellMar>
        </w:tblPrEx>
        <w:trPr>
          <w:jc w:val="center"/>
        </w:trPr>
        <w:tc>
          <w:tcPr>
            <w:tcW w:w="692"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b/>
                <w:szCs w:val="21"/>
              </w:rPr>
            </w:pPr>
          </w:p>
        </w:tc>
        <w:tc>
          <w:tcPr>
            <w:tcW w:w="727" w:type="dxa"/>
            <w:tcBorders>
              <w:top w:val="single" w:sz="4" w:space="0" w:color="auto"/>
              <w:left w:val="single" w:sz="4" w:space="0" w:color="auto"/>
              <w:bottom w:val="single" w:sz="4" w:space="0" w:color="auto"/>
              <w:right w:val="single" w:sz="4" w:space="0" w:color="auto"/>
            </w:tcBorders>
            <w:vAlign w:val="center"/>
          </w:tcPr>
          <w:p>
            <w:pPr>
              <w:spacing w:after="60" w:line="360" w:lineRule="auto"/>
              <w:jc w:val="center"/>
              <w:rPr>
                <w:rFonts w:ascii="宋体" w:eastAsia="宋体" w:hAnsi="宋体"/>
                <w:szCs w:val="21"/>
              </w:rPr>
            </w:pPr>
            <w:r>
              <w:rPr>
                <w:rFonts w:ascii="宋体" w:hAnsi="宋体" w:hint="eastAsia"/>
              </w:rPr>
              <w:t>1</w:t>
            </w:r>
          </w:p>
        </w:tc>
        <w:tc>
          <w:tcPr>
            <w:tcW w:w="1698" w:type="dxa"/>
            <w:tcBorders>
              <w:top w:val="single" w:sz="4" w:space="0" w:color="auto"/>
              <w:left w:val="single" w:sz="4" w:space="0" w:color="auto"/>
              <w:bottom w:val="single" w:sz="4" w:space="0" w:color="auto"/>
              <w:right w:val="single" w:sz="4" w:space="0" w:color="auto"/>
            </w:tcBorders>
            <w:vAlign w:val="center"/>
          </w:tcPr>
          <w:p>
            <w:pPr>
              <w:spacing w:after="60" w:line="360" w:lineRule="auto"/>
              <w:jc w:val="center"/>
              <w:rPr>
                <w:rFonts w:ascii="宋体" w:eastAsia="宋体" w:hAnsi="宋体"/>
                <w:szCs w:val="21"/>
              </w:rPr>
            </w:pPr>
            <w:r>
              <w:rPr>
                <w:rFonts w:ascii="宋体" w:hAnsi="宋体" w:hint="eastAsia"/>
              </w:rPr>
              <w:t>项目服务方案评价</w:t>
            </w:r>
          </w:p>
        </w:tc>
        <w:tc>
          <w:tcPr>
            <w:tcW w:w="445" w:type="dxa"/>
            <w:tcBorders>
              <w:top w:val="single" w:sz="4" w:space="0" w:color="auto"/>
              <w:left w:val="single" w:sz="4" w:space="0" w:color="auto"/>
              <w:bottom w:val="single" w:sz="4" w:space="0" w:color="auto"/>
              <w:right w:val="single" w:sz="4" w:space="0" w:color="auto"/>
            </w:tcBorders>
            <w:vAlign w:val="center"/>
          </w:tcPr>
          <w:p>
            <w:pPr>
              <w:spacing w:after="60" w:line="360" w:lineRule="auto"/>
              <w:jc w:val="center"/>
              <w:rPr>
                <w:rFonts w:ascii="宋体" w:eastAsia="宋体" w:hAnsi="宋体"/>
                <w:szCs w:val="21"/>
              </w:rPr>
            </w:pPr>
            <w:r>
              <w:rPr>
                <w:rFonts w:ascii="宋体" w:hAnsi="宋体" w:hint="eastAsia"/>
              </w:rPr>
              <w:t>5</w:t>
            </w:r>
          </w:p>
        </w:tc>
        <w:tc>
          <w:tcPr>
            <w:tcW w:w="6217" w:type="dxa"/>
            <w:tcBorders>
              <w:top w:val="single" w:sz="4" w:space="0" w:color="auto"/>
              <w:left w:val="single" w:sz="4" w:space="0" w:color="auto"/>
              <w:bottom w:val="single" w:sz="4" w:space="0" w:color="auto"/>
              <w:right w:val="single" w:sz="4" w:space="0" w:color="auto"/>
            </w:tcBorders>
            <w:vAlign w:val="center"/>
          </w:tcPr>
          <w:p>
            <w:pPr>
              <w:spacing w:after="60" w:line="360" w:lineRule="auto"/>
              <w:jc w:val="left"/>
              <w:rPr>
                <w:rFonts w:ascii="Times New Roman" w:hAnsi="Times New Roman"/>
              </w:rPr>
            </w:pPr>
            <w:r>
              <w:rPr>
                <w:rFonts w:hint="eastAsia"/>
              </w:rPr>
              <w:t>1</w:t>
            </w:r>
            <w:r>
              <w:rPr>
                <w:rFonts w:ascii="宋体" w:hAnsi="宋体" w:hint="eastAsia"/>
              </w:rPr>
              <w:t>、投标人根据项目实际情况提供项目实施方案，方案内容包括但不限于：</w:t>
            </w:r>
          </w:p>
          <w:p>
            <w:pPr>
              <w:spacing w:after="60" w:line="360" w:lineRule="auto"/>
              <w:jc w:val="left"/>
            </w:pPr>
            <w:r>
              <w:rPr>
                <w:rFonts w:ascii="宋体" w:hAnsi="宋体" w:hint="eastAsia"/>
              </w:rPr>
              <w:t>①实施方案（工作目标、工作内容、工作依据、工作措施、工作方法）；</w:t>
            </w:r>
          </w:p>
          <w:p>
            <w:pPr>
              <w:spacing w:after="60" w:line="360" w:lineRule="auto"/>
              <w:jc w:val="left"/>
            </w:pPr>
            <w:r>
              <w:rPr>
                <w:rFonts w:ascii="宋体" w:hAnsi="宋体" w:hint="eastAsia"/>
              </w:rPr>
              <w:t>②法律服务总体思路；</w:t>
            </w:r>
          </w:p>
          <w:p>
            <w:pPr>
              <w:spacing w:after="60" w:line="360" w:lineRule="auto"/>
              <w:jc w:val="left"/>
            </w:pPr>
            <w:r>
              <w:rPr>
                <w:rFonts w:ascii="宋体" w:hAnsi="宋体" w:hint="eastAsia"/>
              </w:rPr>
              <w:t>③项目推进重要举措；</w:t>
            </w:r>
          </w:p>
          <w:p>
            <w:pPr>
              <w:spacing w:after="60" w:line="360" w:lineRule="auto"/>
              <w:jc w:val="left"/>
            </w:pPr>
            <w:r>
              <w:rPr>
                <w:rFonts w:ascii="宋体" w:hAnsi="宋体" w:hint="eastAsia"/>
              </w:rPr>
              <w:t>投标文件包含以上任意一项内容，即可得</w:t>
            </w:r>
            <w:r>
              <w:rPr>
                <w:rFonts w:hint="eastAsia"/>
              </w:rPr>
              <w:t>20%</w:t>
            </w:r>
            <w:r>
              <w:rPr>
                <w:rFonts w:ascii="宋体" w:hAnsi="宋体" w:hint="eastAsia"/>
              </w:rPr>
              <w:t>，三项全部包含的，得</w:t>
            </w:r>
            <w:r>
              <w:rPr>
                <w:rFonts w:hint="eastAsia"/>
              </w:rPr>
              <w:t>60%</w:t>
            </w:r>
            <w:r>
              <w:rPr>
                <w:rFonts w:ascii="宋体" w:hAnsi="宋体" w:hint="eastAsia"/>
              </w:rPr>
              <w:t>。</w:t>
            </w:r>
          </w:p>
          <w:p>
            <w:pPr>
              <w:spacing w:after="60" w:line="360" w:lineRule="auto"/>
              <w:jc w:val="left"/>
            </w:pPr>
            <w:r>
              <w:rPr>
                <w:rFonts w:hint="eastAsia"/>
              </w:rPr>
              <w:t>2</w:t>
            </w:r>
            <w:r>
              <w:rPr>
                <w:rFonts w:ascii="宋体" w:hAnsi="宋体" w:hint="eastAsia"/>
              </w:rPr>
              <w:t>、在此基础上，专家根据各供应商的具体相应内容按量化的评审因素指标进一步评审。</w:t>
            </w:r>
          </w:p>
          <w:p>
            <w:pPr>
              <w:spacing w:after="60" w:line="360" w:lineRule="auto"/>
              <w:jc w:val="left"/>
              <w:rPr>
                <w:rFonts w:ascii="宋体" w:hAnsi="宋体"/>
              </w:rPr>
            </w:pPr>
            <w:r>
              <w:rPr>
                <w:rFonts w:ascii="宋体" w:hAnsi="宋体" w:hint="eastAsia"/>
              </w:rPr>
              <w:t>①实施方案极合理、条理极清晰、针对性极强、可操作性极强的得</w:t>
            </w:r>
            <w:r>
              <w:rPr>
                <w:rFonts w:hint="eastAsia"/>
              </w:rPr>
              <w:t>40%</w:t>
            </w:r>
            <w:r>
              <w:rPr>
                <w:rFonts w:ascii="宋体" w:hAnsi="宋体" w:hint="eastAsia"/>
              </w:rPr>
              <w:t>；</w:t>
            </w:r>
          </w:p>
          <w:p>
            <w:pPr>
              <w:spacing w:after="60" w:line="360" w:lineRule="auto"/>
              <w:jc w:val="left"/>
              <w:rPr>
                <w:rFonts w:ascii="宋体" w:hAnsi="宋体"/>
              </w:rPr>
            </w:pPr>
            <w:r>
              <w:rPr>
                <w:rFonts w:ascii="宋体" w:hAnsi="宋体" w:hint="eastAsia"/>
              </w:rPr>
              <w:t>②实施方案合理、条理清晰、针对性强、可操作性强的得</w:t>
            </w:r>
            <w:r>
              <w:rPr>
                <w:rFonts w:hint="eastAsia"/>
              </w:rPr>
              <w:t>30%</w:t>
            </w:r>
            <w:r>
              <w:rPr>
                <w:rFonts w:ascii="宋体" w:hAnsi="宋体" w:hint="eastAsia"/>
              </w:rPr>
              <w:t>；</w:t>
            </w:r>
          </w:p>
          <w:p>
            <w:pPr>
              <w:spacing w:after="60" w:line="360" w:lineRule="auto"/>
              <w:jc w:val="left"/>
              <w:rPr>
                <w:rFonts w:ascii="宋体" w:hAnsi="宋体"/>
              </w:rPr>
            </w:pPr>
            <w:r>
              <w:rPr>
                <w:rFonts w:ascii="宋体" w:hAnsi="宋体" w:hint="eastAsia"/>
              </w:rPr>
              <w:t>③实施方案一般合理、条理一般、针对性一般、可操作性一般的得</w:t>
            </w:r>
            <w:r>
              <w:rPr>
                <w:rFonts w:hint="eastAsia"/>
              </w:rPr>
              <w:t>20%</w:t>
            </w:r>
            <w:r>
              <w:rPr>
                <w:rFonts w:ascii="宋体" w:hAnsi="宋体" w:hint="eastAsia"/>
              </w:rPr>
              <w:t>；</w:t>
            </w:r>
          </w:p>
          <w:p>
            <w:pPr>
              <w:spacing w:after="60" w:line="360" w:lineRule="auto"/>
              <w:jc w:val="left"/>
              <w:rPr>
                <w:rFonts w:ascii="宋体" w:hAnsi="宋体"/>
              </w:rPr>
            </w:pPr>
            <w:r>
              <w:rPr>
                <w:rFonts w:ascii="宋体" w:hAnsi="宋体" w:hint="eastAsia"/>
              </w:rPr>
              <w:t>④实施方案不合理、条理不清晰、针对性不强、可操作性差的不得分；</w:t>
            </w:r>
          </w:p>
          <w:p>
            <w:pPr>
              <w:pStyle w:val="NormalIndent"/>
            </w:pPr>
          </w:p>
        </w:tc>
      </w:tr>
      <w:tr>
        <w:tblPrEx>
          <w:tblW w:w="9779" w:type="dxa"/>
          <w:jc w:val="center"/>
          <w:tblLayout w:type="fixed"/>
          <w:tblCellMar>
            <w:top w:w="0" w:type="dxa"/>
            <w:left w:w="108" w:type="dxa"/>
            <w:bottom w:w="0" w:type="dxa"/>
            <w:right w:w="108" w:type="dxa"/>
          </w:tblCellMar>
        </w:tblPrEx>
        <w:trPr>
          <w:jc w:val="center"/>
        </w:trPr>
        <w:tc>
          <w:tcPr>
            <w:tcW w:w="692"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b/>
                <w:szCs w:val="21"/>
              </w:rPr>
            </w:pPr>
          </w:p>
        </w:tc>
        <w:tc>
          <w:tcPr>
            <w:tcW w:w="727" w:type="dxa"/>
            <w:tcBorders>
              <w:top w:val="single" w:sz="4" w:space="0" w:color="auto"/>
              <w:left w:val="single" w:sz="4" w:space="0" w:color="auto"/>
              <w:bottom w:val="single" w:sz="4" w:space="0" w:color="auto"/>
              <w:right w:val="single" w:sz="4" w:space="0" w:color="auto"/>
            </w:tcBorders>
            <w:vAlign w:val="center"/>
          </w:tcPr>
          <w:p>
            <w:pPr>
              <w:spacing w:after="60" w:line="360" w:lineRule="auto"/>
              <w:jc w:val="center"/>
              <w:rPr>
                <w:rFonts w:ascii="宋体" w:eastAsia="宋体" w:hAnsi="宋体"/>
                <w:szCs w:val="21"/>
              </w:rPr>
            </w:pPr>
            <w:r>
              <w:rPr>
                <w:rFonts w:ascii="宋体" w:hAnsi="宋体" w:hint="eastAsia"/>
              </w:rPr>
              <w:t>2</w:t>
            </w:r>
          </w:p>
        </w:tc>
        <w:tc>
          <w:tcPr>
            <w:tcW w:w="1698" w:type="dxa"/>
            <w:tcBorders>
              <w:top w:val="single" w:sz="4" w:space="0" w:color="auto"/>
              <w:left w:val="single" w:sz="4" w:space="0" w:color="auto"/>
              <w:bottom w:val="single" w:sz="4" w:space="0" w:color="auto"/>
              <w:right w:val="single" w:sz="4" w:space="0" w:color="auto"/>
            </w:tcBorders>
            <w:vAlign w:val="center"/>
          </w:tcPr>
          <w:p>
            <w:pPr>
              <w:wordWrap w:val="0"/>
              <w:spacing w:after="60"/>
              <w:jc w:val="center"/>
              <w:rPr>
                <w:rFonts w:ascii="宋体" w:eastAsia="宋体" w:hAnsi="宋体" w:cs="仿宋"/>
                <w:szCs w:val="21"/>
              </w:rPr>
            </w:pPr>
            <w:r>
              <w:rPr>
                <w:rFonts w:ascii="宋体" w:hAnsi="宋体" w:cs="仿宋" w:hint="eastAsia"/>
              </w:rPr>
              <w:t>工</w:t>
            </w:r>
            <w:r>
              <w:rPr>
                <w:rFonts w:ascii="宋体" w:hAnsi="宋体" w:hint="eastAsia"/>
              </w:rPr>
              <w:t>作流程及时间进度安排</w:t>
            </w:r>
          </w:p>
        </w:tc>
        <w:tc>
          <w:tcPr>
            <w:tcW w:w="445" w:type="dxa"/>
            <w:tcBorders>
              <w:top w:val="single" w:sz="4" w:space="0" w:color="auto"/>
              <w:left w:val="single" w:sz="4" w:space="0" w:color="auto"/>
              <w:bottom w:val="single" w:sz="4" w:space="0" w:color="auto"/>
              <w:right w:val="single" w:sz="4" w:space="0" w:color="auto"/>
            </w:tcBorders>
            <w:vAlign w:val="center"/>
          </w:tcPr>
          <w:p>
            <w:pPr>
              <w:wordWrap w:val="0"/>
              <w:spacing w:after="60"/>
              <w:jc w:val="center"/>
              <w:rPr>
                <w:rFonts w:ascii="宋体" w:eastAsia="宋体" w:hAnsi="宋体" w:cs="仿宋"/>
                <w:szCs w:val="21"/>
              </w:rPr>
            </w:pPr>
            <w:r>
              <w:rPr>
                <w:rFonts w:ascii="宋体" w:hAnsi="宋体" w:cs="仿宋" w:hint="eastAsia"/>
              </w:rPr>
              <w:t>3</w:t>
            </w:r>
          </w:p>
        </w:tc>
        <w:tc>
          <w:tcPr>
            <w:tcW w:w="6217" w:type="dxa"/>
            <w:tcBorders>
              <w:top w:val="single" w:sz="4" w:space="0" w:color="auto"/>
              <w:left w:val="single" w:sz="4" w:space="0" w:color="auto"/>
              <w:bottom w:val="single" w:sz="4" w:space="0" w:color="auto"/>
              <w:right w:val="single" w:sz="4" w:space="0" w:color="auto"/>
            </w:tcBorders>
            <w:vAlign w:val="center"/>
          </w:tcPr>
          <w:p>
            <w:pPr>
              <w:spacing w:after="60" w:line="360" w:lineRule="auto"/>
              <w:jc w:val="left"/>
              <w:rPr>
                <w:rFonts w:ascii="宋体" w:hAnsi="宋体"/>
              </w:rPr>
            </w:pPr>
            <w:r>
              <w:rPr>
                <w:rFonts w:ascii="宋体" w:hAnsi="宋体" w:hint="eastAsia"/>
              </w:rPr>
              <w:t>1、投标人根据项目要求，对工作流程及时间进度安排，内容包括但不限于：</w:t>
            </w:r>
          </w:p>
          <w:p>
            <w:pPr>
              <w:spacing w:after="60" w:line="360" w:lineRule="auto"/>
              <w:jc w:val="left"/>
              <w:rPr>
                <w:rFonts w:ascii="宋体" w:hAnsi="宋体"/>
              </w:rPr>
            </w:pPr>
            <w:r>
              <w:rPr>
                <w:rFonts w:ascii="宋体" w:hAnsi="宋体" w:hint="eastAsia"/>
              </w:rPr>
              <w:t>①流程及时间；</w:t>
            </w:r>
          </w:p>
          <w:p>
            <w:pPr>
              <w:spacing w:after="60" w:line="360" w:lineRule="auto"/>
              <w:jc w:val="left"/>
              <w:rPr>
                <w:rFonts w:ascii="宋体" w:hAnsi="宋体"/>
              </w:rPr>
            </w:pPr>
            <w:r>
              <w:rPr>
                <w:rFonts w:ascii="宋体" w:hAnsi="宋体" w:hint="eastAsia"/>
              </w:rPr>
              <w:t>②完成度。</w:t>
            </w:r>
          </w:p>
          <w:p>
            <w:pPr>
              <w:spacing w:after="60" w:line="360" w:lineRule="auto"/>
              <w:jc w:val="left"/>
              <w:rPr>
                <w:rFonts w:ascii="宋体" w:hAnsi="宋体"/>
              </w:rPr>
            </w:pPr>
            <w:r>
              <w:rPr>
                <w:rFonts w:ascii="宋体" w:hAnsi="宋体" w:hint="eastAsia"/>
              </w:rPr>
              <w:t>投标文件包含以上任意一项内容，即可得30%，两项全部包含的，得60%。</w:t>
            </w:r>
          </w:p>
          <w:p>
            <w:pPr>
              <w:spacing w:after="60" w:line="360" w:lineRule="auto"/>
              <w:jc w:val="left"/>
              <w:rPr>
                <w:rFonts w:ascii="宋体" w:hAnsi="宋体"/>
              </w:rPr>
            </w:pPr>
            <w:r>
              <w:rPr>
                <w:rFonts w:ascii="宋体" w:hAnsi="宋体" w:hint="eastAsia"/>
              </w:rPr>
              <w:t>2、在此基础上，专家根据各供应商的具体相应内容按量化的评审因素指标进一步评审。</w:t>
            </w:r>
          </w:p>
          <w:p>
            <w:pPr>
              <w:spacing w:after="60" w:line="360" w:lineRule="auto"/>
              <w:jc w:val="left"/>
              <w:rPr>
                <w:rFonts w:ascii="宋体" w:hAnsi="宋体"/>
              </w:rPr>
            </w:pPr>
            <w:r>
              <w:rPr>
                <w:rFonts w:ascii="宋体" w:hAnsi="宋体" w:hint="eastAsia"/>
              </w:rPr>
              <w:t>①工作流程及时间进度安排极合理、条理极清晰、针对性极强、可操作性极强的得</w:t>
            </w:r>
            <w:r>
              <w:rPr>
                <w:rFonts w:hint="eastAsia"/>
              </w:rPr>
              <w:t>40%</w:t>
            </w:r>
            <w:r>
              <w:rPr>
                <w:rFonts w:ascii="宋体" w:hAnsi="宋体" w:hint="eastAsia"/>
              </w:rPr>
              <w:t>；</w:t>
            </w:r>
          </w:p>
          <w:p>
            <w:pPr>
              <w:spacing w:after="60" w:line="360" w:lineRule="auto"/>
              <w:jc w:val="left"/>
              <w:rPr>
                <w:rFonts w:ascii="宋体" w:hAnsi="宋体"/>
              </w:rPr>
            </w:pPr>
            <w:r>
              <w:rPr>
                <w:rFonts w:ascii="宋体" w:hAnsi="宋体" w:hint="eastAsia"/>
              </w:rPr>
              <w:t>②工作流程及时间进度安排合理、条理清晰、针对性强、可操作性强的得</w:t>
            </w:r>
            <w:r>
              <w:rPr>
                <w:rFonts w:hint="eastAsia"/>
              </w:rPr>
              <w:t>30%</w:t>
            </w:r>
            <w:r>
              <w:rPr>
                <w:rFonts w:ascii="宋体" w:hAnsi="宋体" w:hint="eastAsia"/>
              </w:rPr>
              <w:t>；</w:t>
            </w:r>
          </w:p>
          <w:p>
            <w:pPr>
              <w:spacing w:after="60" w:line="360" w:lineRule="auto"/>
              <w:jc w:val="left"/>
              <w:rPr>
                <w:rFonts w:ascii="宋体" w:hAnsi="宋体"/>
              </w:rPr>
            </w:pPr>
            <w:r>
              <w:rPr>
                <w:rFonts w:ascii="宋体" w:hAnsi="宋体" w:hint="eastAsia"/>
              </w:rPr>
              <w:t>③工作流程及时间进度安排一般合理、条理一般、针对性一般、可操作性一般的得</w:t>
            </w:r>
            <w:r>
              <w:rPr>
                <w:rFonts w:hint="eastAsia"/>
              </w:rPr>
              <w:t>20%</w:t>
            </w:r>
            <w:r>
              <w:rPr>
                <w:rFonts w:ascii="宋体" w:hAnsi="宋体" w:hint="eastAsia"/>
              </w:rPr>
              <w:t>；</w:t>
            </w:r>
          </w:p>
          <w:p>
            <w:pPr>
              <w:spacing w:after="60" w:line="360" w:lineRule="auto"/>
              <w:jc w:val="left"/>
              <w:rPr>
                <w:rFonts w:ascii="宋体" w:eastAsia="宋体" w:hAnsi="宋体"/>
                <w:szCs w:val="21"/>
              </w:rPr>
            </w:pPr>
            <w:r>
              <w:rPr>
                <w:rFonts w:ascii="宋体" w:hAnsi="宋体" w:hint="eastAsia"/>
              </w:rPr>
              <w:t>④工作流程及时间进度安排不合理、条理不清晰、针对性不强、可操作性差的不得分；</w:t>
            </w:r>
          </w:p>
        </w:tc>
      </w:tr>
      <w:tr>
        <w:tblPrEx>
          <w:tblW w:w="9779" w:type="dxa"/>
          <w:jc w:val="center"/>
          <w:tblLayout w:type="fixed"/>
          <w:tblCellMar>
            <w:top w:w="0" w:type="dxa"/>
            <w:left w:w="108" w:type="dxa"/>
            <w:bottom w:w="0" w:type="dxa"/>
            <w:right w:w="108" w:type="dxa"/>
          </w:tblCellMar>
        </w:tblPrEx>
        <w:trPr>
          <w:jc w:val="center"/>
        </w:trPr>
        <w:tc>
          <w:tcPr>
            <w:tcW w:w="692"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b/>
                <w:szCs w:val="21"/>
              </w:rPr>
            </w:pPr>
          </w:p>
        </w:tc>
        <w:tc>
          <w:tcPr>
            <w:tcW w:w="727" w:type="dxa"/>
            <w:tcBorders>
              <w:top w:val="single" w:sz="4" w:space="0" w:color="auto"/>
              <w:left w:val="single" w:sz="4" w:space="0" w:color="auto"/>
              <w:bottom w:val="single" w:sz="4" w:space="0" w:color="auto"/>
              <w:right w:val="single" w:sz="4" w:space="0" w:color="auto"/>
            </w:tcBorders>
            <w:vAlign w:val="center"/>
          </w:tcPr>
          <w:p>
            <w:pPr>
              <w:spacing w:after="60" w:line="360" w:lineRule="auto"/>
              <w:jc w:val="center"/>
              <w:rPr>
                <w:rFonts w:ascii="宋体" w:eastAsia="宋体" w:hAnsi="宋体"/>
                <w:szCs w:val="21"/>
              </w:rPr>
            </w:pPr>
            <w:r>
              <w:rPr>
                <w:rFonts w:ascii="宋体" w:hAnsi="宋体" w:hint="eastAsia"/>
              </w:rPr>
              <w:t>3</w:t>
            </w:r>
          </w:p>
        </w:tc>
        <w:tc>
          <w:tcPr>
            <w:tcW w:w="1698" w:type="dxa"/>
            <w:tcBorders>
              <w:top w:val="single" w:sz="4" w:space="0" w:color="auto"/>
              <w:left w:val="single" w:sz="4" w:space="0" w:color="auto"/>
              <w:bottom w:val="single" w:sz="4" w:space="0" w:color="auto"/>
              <w:right w:val="single" w:sz="4" w:space="0" w:color="auto"/>
            </w:tcBorders>
            <w:vAlign w:val="center"/>
          </w:tcPr>
          <w:p>
            <w:pPr>
              <w:widowControl/>
              <w:snapToGrid w:val="0"/>
              <w:spacing w:after="60" w:line="360" w:lineRule="auto"/>
              <w:jc w:val="center"/>
              <w:rPr>
                <w:rFonts w:ascii="宋体" w:eastAsia="宋体" w:hAnsi="宋体"/>
                <w:szCs w:val="21"/>
              </w:rPr>
            </w:pPr>
            <w:r>
              <w:rPr>
                <w:rFonts w:ascii="宋体" w:hAnsi="宋体" w:hint="eastAsia"/>
              </w:rPr>
              <w:t>项目质量保证措施评价</w:t>
            </w:r>
          </w:p>
        </w:tc>
        <w:tc>
          <w:tcPr>
            <w:tcW w:w="445" w:type="dxa"/>
            <w:tcBorders>
              <w:top w:val="single" w:sz="4" w:space="0" w:color="auto"/>
              <w:left w:val="single" w:sz="4" w:space="0" w:color="auto"/>
              <w:bottom w:val="single" w:sz="4" w:space="0" w:color="auto"/>
              <w:right w:val="single" w:sz="4" w:space="0" w:color="auto"/>
            </w:tcBorders>
            <w:vAlign w:val="center"/>
          </w:tcPr>
          <w:p>
            <w:pPr>
              <w:widowControl/>
              <w:snapToGrid w:val="0"/>
              <w:spacing w:after="60" w:line="360" w:lineRule="auto"/>
              <w:jc w:val="center"/>
              <w:rPr>
                <w:rFonts w:ascii="宋体" w:eastAsia="宋体" w:hAnsi="宋体"/>
                <w:szCs w:val="21"/>
              </w:rPr>
            </w:pPr>
            <w:r>
              <w:rPr>
                <w:rFonts w:ascii="宋体" w:hAnsi="宋体" w:hint="eastAsia"/>
              </w:rPr>
              <w:t>5</w:t>
            </w:r>
          </w:p>
        </w:tc>
        <w:tc>
          <w:tcPr>
            <w:tcW w:w="6217"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after="60" w:line="360" w:lineRule="auto"/>
              <w:jc w:val="left"/>
              <w:textAlignment w:val="baseline"/>
              <w:outlineLvl w:val="1"/>
              <w:rPr>
                <w:rFonts w:ascii="宋体" w:hAnsi="宋体"/>
              </w:rPr>
            </w:pPr>
            <w:r>
              <w:rPr>
                <w:rFonts w:ascii="宋体" w:hAnsi="宋体" w:hint="eastAsia"/>
              </w:rPr>
              <w:t>1、投标人提供对本项目的质量保证涵盖内容及保证措施，内容包括但不限于：</w:t>
            </w:r>
          </w:p>
          <w:p>
            <w:pPr>
              <w:adjustRightInd w:val="0"/>
              <w:snapToGrid w:val="0"/>
              <w:spacing w:after="60" w:line="360" w:lineRule="auto"/>
              <w:jc w:val="left"/>
              <w:textAlignment w:val="baseline"/>
              <w:outlineLvl w:val="1"/>
              <w:rPr>
                <w:rFonts w:ascii="宋体" w:hAnsi="宋体"/>
              </w:rPr>
            </w:pPr>
            <w:r>
              <w:rPr>
                <w:rFonts w:ascii="宋体" w:hAnsi="宋体" w:hint="eastAsia"/>
              </w:rPr>
              <w:t>①项目制度保障；</w:t>
            </w:r>
          </w:p>
          <w:p>
            <w:pPr>
              <w:adjustRightInd w:val="0"/>
              <w:snapToGrid w:val="0"/>
              <w:spacing w:after="60" w:line="360" w:lineRule="auto"/>
              <w:jc w:val="left"/>
              <w:textAlignment w:val="baseline"/>
              <w:outlineLvl w:val="1"/>
              <w:rPr>
                <w:rFonts w:ascii="宋体" w:hAnsi="宋体"/>
              </w:rPr>
            </w:pPr>
            <w:r>
              <w:rPr>
                <w:rFonts w:ascii="宋体" w:hAnsi="宋体" w:hint="eastAsia"/>
              </w:rPr>
              <w:t>②进度保障；</w:t>
            </w:r>
          </w:p>
          <w:p>
            <w:pPr>
              <w:adjustRightInd w:val="0"/>
              <w:snapToGrid w:val="0"/>
              <w:spacing w:after="60" w:line="360" w:lineRule="auto"/>
              <w:jc w:val="left"/>
              <w:textAlignment w:val="baseline"/>
              <w:outlineLvl w:val="1"/>
              <w:rPr>
                <w:rFonts w:ascii="宋体" w:hAnsi="宋体"/>
              </w:rPr>
            </w:pPr>
            <w:r>
              <w:rPr>
                <w:rFonts w:ascii="宋体" w:hAnsi="宋体" w:hint="eastAsia"/>
              </w:rPr>
              <w:t>③技术力量保障；</w:t>
            </w:r>
          </w:p>
          <w:p>
            <w:pPr>
              <w:adjustRightInd w:val="0"/>
              <w:snapToGrid w:val="0"/>
              <w:spacing w:after="60" w:line="360" w:lineRule="auto"/>
              <w:jc w:val="left"/>
              <w:textAlignment w:val="baseline"/>
              <w:outlineLvl w:val="1"/>
              <w:rPr>
                <w:rFonts w:ascii="宋体" w:hAnsi="宋体"/>
              </w:rPr>
            </w:pPr>
            <w:r>
              <w:rPr>
                <w:rFonts w:ascii="宋体" w:hAnsi="宋体" w:hint="eastAsia"/>
              </w:rPr>
              <w:t>④成果质量保障等方案内容。</w:t>
            </w:r>
          </w:p>
          <w:p>
            <w:pPr>
              <w:adjustRightInd w:val="0"/>
              <w:snapToGrid w:val="0"/>
              <w:spacing w:after="60" w:line="360" w:lineRule="auto"/>
              <w:jc w:val="left"/>
              <w:textAlignment w:val="baseline"/>
              <w:outlineLvl w:val="1"/>
              <w:rPr>
                <w:rFonts w:ascii="宋体" w:hAnsi="宋体"/>
              </w:rPr>
            </w:pPr>
            <w:r>
              <w:rPr>
                <w:rFonts w:ascii="宋体" w:hAnsi="宋体" w:hint="eastAsia"/>
              </w:rPr>
              <w:t>投标文件包含以上任意一项内容，即可得15%，四项全部包含的，得60%。</w:t>
            </w:r>
          </w:p>
          <w:p>
            <w:pPr>
              <w:adjustRightInd w:val="0"/>
              <w:snapToGrid w:val="0"/>
              <w:spacing w:after="60" w:line="360" w:lineRule="auto"/>
              <w:jc w:val="left"/>
              <w:textAlignment w:val="baseline"/>
              <w:outlineLvl w:val="1"/>
              <w:rPr>
                <w:rFonts w:ascii="宋体" w:hAnsi="宋体"/>
              </w:rPr>
            </w:pPr>
            <w:r>
              <w:rPr>
                <w:rFonts w:ascii="宋体" w:hAnsi="宋体" w:hint="eastAsia"/>
              </w:rPr>
              <w:t>2、在此基础上，专家根据各供应商的具体相应内容按量化的评审因素指标进一步评审。</w:t>
            </w:r>
          </w:p>
          <w:p>
            <w:pPr>
              <w:adjustRightInd w:val="0"/>
              <w:snapToGrid w:val="0"/>
              <w:spacing w:after="60" w:line="360" w:lineRule="auto"/>
              <w:jc w:val="left"/>
              <w:textAlignment w:val="baseline"/>
              <w:outlineLvl w:val="1"/>
              <w:rPr>
                <w:rFonts w:ascii="宋体" w:hAnsi="宋体"/>
              </w:rPr>
            </w:pPr>
            <w:r>
              <w:rPr>
                <w:rFonts w:ascii="宋体" w:hAnsi="宋体" w:hint="eastAsia"/>
              </w:rPr>
              <w:t>①项目质量保证措施极合理、条理极清晰、针对性极强、可操作性极强的得40%；</w:t>
            </w:r>
          </w:p>
          <w:p>
            <w:pPr>
              <w:adjustRightInd w:val="0"/>
              <w:snapToGrid w:val="0"/>
              <w:spacing w:after="60" w:line="360" w:lineRule="auto"/>
              <w:jc w:val="left"/>
              <w:textAlignment w:val="baseline"/>
              <w:outlineLvl w:val="1"/>
              <w:rPr>
                <w:rFonts w:ascii="宋体" w:hAnsi="宋体"/>
              </w:rPr>
            </w:pPr>
            <w:r>
              <w:rPr>
                <w:rFonts w:ascii="宋体" w:hAnsi="宋体" w:hint="eastAsia"/>
              </w:rPr>
              <w:t>②项目质量保证措施合理、条理清晰、针对性强、可操作性强的得30%；</w:t>
            </w:r>
          </w:p>
          <w:p>
            <w:pPr>
              <w:adjustRightInd w:val="0"/>
              <w:snapToGrid w:val="0"/>
              <w:spacing w:after="60" w:line="360" w:lineRule="auto"/>
              <w:jc w:val="left"/>
              <w:textAlignment w:val="baseline"/>
              <w:outlineLvl w:val="1"/>
              <w:rPr>
                <w:rFonts w:ascii="宋体" w:hAnsi="宋体"/>
              </w:rPr>
            </w:pPr>
            <w:r>
              <w:rPr>
                <w:rFonts w:ascii="宋体" w:hAnsi="宋体" w:hint="eastAsia"/>
              </w:rPr>
              <w:t>③项目质量保证措施一般合理、条理一般、针对性一般、可操作性一般的得20%；</w:t>
            </w:r>
          </w:p>
          <w:p>
            <w:pPr>
              <w:adjustRightInd w:val="0"/>
              <w:snapToGrid w:val="0"/>
              <w:spacing w:after="60" w:line="360" w:lineRule="auto"/>
              <w:jc w:val="left"/>
              <w:textAlignment w:val="baseline"/>
              <w:outlineLvl w:val="1"/>
              <w:rPr>
                <w:rFonts w:ascii="宋体" w:eastAsia="宋体" w:hAnsi="宋体"/>
                <w:szCs w:val="21"/>
              </w:rPr>
            </w:pPr>
            <w:r>
              <w:rPr>
                <w:rFonts w:ascii="宋体" w:hAnsi="宋体" w:hint="eastAsia"/>
              </w:rPr>
              <w:t>④项目质量保证措施不合理、条理不清晰、针对性不强、可操作性差的不得分；</w:t>
            </w:r>
          </w:p>
        </w:tc>
      </w:tr>
      <w:tr>
        <w:tblPrEx>
          <w:tblW w:w="9779" w:type="dxa"/>
          <w:jc w:val="center"/>
          <w:tblLayout w:type="fixed"/>
          <w:tblCellMar>
            <w:top w:w="0" w:type="dxa"/>
            <w:left w:w="108" w:type="dxa"/>
            <w:bottom w:w="0" w:type="dxa"/>
            <w:right w:w="108" w:type="dxa"/>
          </w:tblCellMar>
        </w:tblPrEx>
        <w:trPr>
          <w:jc w:val="center"/>
        </w:trPr>
        <w:tc>
          <w:tcPr>
            <w:tcW w:w="692"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b/>
                <w:szCs w:val="21"/>
              </w:rPr>
            </w:pPr>
          </w:p>
        </w:tc>
        <w:tc>
          <w:tcPr>
            <w:tcW w:w="727" w:type="dxa"/>
            <w:tcBorders>
              <w:top w:val="single" w:sz="4" w:space="0" w:color="auto"/>
              <w:left w:val="single" w:sz="4" w:space="0" w:color="auto"/>
              <w:bottom w:val="single" w:sz="4" w:space="0" w:color="auto"/>
              <w:right w:val="single" w:sz="4" w:space="0" w:color="auto"/>
            </w:tcBorders>
            <w:vAlign w:val="center"/>
          </w:tcPr>
          <w:p>
            <w:pPr>
              <w:spacing w:after="60" w:line="360" w:lineRule="auto"/>
              <w:jc w:val="center"/>
              <w:rPr>
                <w:rFonts w:ascii="宋体" w:eastAsia="宋体" w:hAnsi="宋体"/>
                <w:szCs w:val="21"/>
              </w:rPr>
            </w:pPr>
            <w:r>
              <w:rPr>
                <w:rFonts w:ascii="宋体" w:hAnsi="宋体" w:hint="eastAsia"/>
              </w:rPr>
              <w:t>4</w:t>
            </w:r>
          </w:p>
        </w:tc>
        <w:tc>
          <w:tcPr>
            <w:tcW w:w="1698" w:type="dxa"/>
            <w:tcBorders>
              <w:top w:val="single" w:sz="4" w:space="0" w:color="auto"/>
              <w:left w:val="single" w:sz="4" w:space="0" w:color="auto"/>
              <w:bottom w:val="single" w:sz="4" w:space="0" w:color="auto"/>
              <w:right w:val="single" w:sz="4" w:space="0" w:color="auto"/>
            </w:tcBorders>
            <w:vAlign w:val="center"/>
          </w:tcPr>
          <w:p>
            <w:pPr>
              <w:widowControl/>
              <w:snapToGrid w:val="0"/>
              <w:spacing w:after="60" w:line="360" w:lineRule="auto"/>
              <w:jc w:val="center"/>
              <w:rPr>
                <w:rFonts w:ascii="宋体" w:eastAsia="宋体" w:hAnsi="宋体"/>
                <w:szCs w:val="21"/>
              </w:rPr>
            </w:pPr>
            <w:r>
              <w:rPr>
                <w:rFonts w:ascii="宋体" w:hAnsi="宋体" w:hint="eastAsia"/>
              </w:rPr>
              <w:t>对项目认识、重难点分析及应对措施评价</w:t>
            </w:r>
          </w:p>
        </w:tc>
        <w:tc>
          <w:tcPr>
            <w:tcW w:w="445" w:type="dxa"/>
            <w:tcBorders>
              <w:top w:val="single" w:sz="4" w:space="0" w:color="auto"/>
              <w:left w:val="single" w:sz="4" w:space="0" w:color="auto"/>
              <w:bottom w:val="single" w:sz="4" w:space="0" w:color="auto"/>
              <w:right w:val="single" w:sz="4" w:space="0" w:color="auto"/>
            </w:tcBorders>
            <w:vAlign w:val="center"/>
          </w:tcPr>
          <w:p>
            <w:pPr>
              <w:widowControl/>
              <w:snapToGrid w:val="0"/>
              <w:spacing w:after="60" w:line="360" w:lineRule="auto"/>
              <w:jc w:val="center"/>
              <w:rPr>
                <w:rFonts w:ascii="宋体" w:eastAsia="宋体" w:hAnsi="宋体"/>
                <w:szCs w:val="21"/>
              </w:rPr>
            </w:pPr>
            <w:r>
              <w:rPr>
                <w:rFonts w:ascii="宋体" w:hAnsi="宋体" w:hint="eastAsia"/>
              </w:rPr>
              <w:t>6</w:t>
            </w:r>
          </w:p>
        </w:tc>
        <w:tc>
          <w:tcPr>
            <w:tcW w:w="6217"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after="60" w:line="360" w:lineRule="auto"/>
              <w:jc w:val="left"/>
              <w:textAlignment w:val="baseline"/>
              <w:outlineLvl w:val="1"/>
              <w:rPr>
                <w:rFonts w:ascii="宋体" w:hAnsi="宋体"/>
              </w:rPr>
            </w:pPr>
            <w:r>
              <w:rPr>
                <w:rFonts w:ascii="宋体" w:hAnsi="宋体" w:hint="eastAsia"/>
              </w:rPr>
              <w:t>1、投标人根据项目实际情况提供项目实施方案，方案内容包括但不限于：</w:t>
            </w:r>
          </w:p>
          <w:p>
            <w:pPr>
              <w:adjustRightInd w:val="0"/>
              <w:snapToGrid w:val="0"/>
              <w:spacing w:after="60" w:line="360" w:lineRule="auto"/>
              <w:jc w:val="left"/>
              <w:textAlignment w:val="baseline"/>
              <w:outlineLvl w:val="1"/>
              <w:rPr>
                <w:rFonts w:ascii="宋体" w:hAnsi="宋体"/>
              </w:rPr>
            </w:pPr>
            <w:r>
              <w:rPr>
                <w:rFonts w:ascii="宋体" w:hAnsi="宋体" w:hint="eastAsia"/>
              </w:rPr>
              <w:t>①项目整体背景；</w:t>
            </w:r>
          </w:p>
          <w:p>
            <w:pPr>
              <w:adjustRightInd w:val="0"/>
              <w:snapToGrid w:val="0"/>
              <w:spacing w:after="60" w:line="360" w:lineRule="auto"/>
              <w:jc w:val="left"/>
              <w:textAlignment w:val="baseline"/>
              <w:outlineLvl w:val="1"/>
              <w:rPr>
                <w:rFonts w:ascii="宋体" w:hAnsi="宋体"/>
              </w:rPr>
            </w:pPr>
            <w:r>
              <w:rPr>
                <w:rFonts w:ascii="宋体" w:hAnsi="宋体" w:hint="eastAsia"/>
              </w:rPr>
              <w:t>②项目整体情况的认识；</w:t>
            </w:r>
          </w:p>
          <w:p>
            <w:pPr>
              <w:adjustRightInd w:val="0"/>
              <w:snapToGrid w:val="0"/>
              <w:spacing w:after="60" w:line="360" w:lineRule="auto"/>
              <w:jc w:val="left"/>
              <w:textAlignment w:val="baseline"/>
              <w:outlineLvl w:val="1"/>
              <w:rPr>
                <w:rFonts w:ascii="宋体" w:hAnsi="宋体"/>
              </w:rPr>
            </w:pPr>
            <w:r>
              <w:rPr>
                <w:rFonts w:ascii="宋体" w:hAnsi="宋体" w:hint="eastAsia"/>
              </w:rPr>
              <w:t>③重难点的分析以及应对措施等方案内容。</w:t>
            </w:r>
          </w:p>
          <w:p>
            <w:pPr>
              <w:adjustRightInd w:val="0"/>
              <w:snapToGrid w:val="0"/>
              <w:spacing w:after="60" w:line="360" w:lineRule="auto"/>
              <w:jc w:val="left"/>
              <w:textAlignment w:val="baseline"/>
              <w:outlineLvl w:val="1"/>
              <w:rPr>
                <w:rFonts w:ascii="宋体" w:hAnsi="宋体"/>
              </w:rPr>
            </w:pPr>
            <w:r>
              <w:rPr>
                <w:rFonts w:ascii="宋体" w:hAnsi="宋体" w:hint="eastAsia"/>
              </w:rPr>
              <w:t>投标文件包含以上任意一项内容，即可得20%，三项全部包含的，得60%。</w:t>
            </w:r>
          </w:p>
          <w:p>
            <w:pPr>
              <w:adjustRightInd w:val="0"/>
              <w:snapToGrid w:val="0"/>
              <w:spacing w:after="60" w:line="360" w:lineRule="auto"/>
              <w:jc w:val="left"/>
              <w:textAlignment w:val="baseline"/>
              <w:outlineLvl w:val="1"/>
              <w:rPr>
                <w:rFonts w:ascii="宋体" w:hAnsi="宋体"/>
              </w:rPr>
            </w:pPr>
            <w:r>
              <w:rPr>
                <w:rFonts w:ascii="宋体" w:hAnsi="宋体" w:hint="eastAsia"/>
              </w:rPr>
              <w:t xml:space="preserve">2、在此基础上，专家根据各供应商的具体相应内容按量化的评审因素指标进一步评审。 </w:t>
            </w:r>
          </w:p>
          <w:p>
            <w:pPr>
              <w:adjustRightInd w:val="0"/>
              <w:snapToGrid w:val="0"/>
              <w:spacing w:after="60" w:line="360" w:lineRule="auto"/>
              <w:jc w:val="left"/>
              <w:textAlignment w:val="baseline"/>
              <w:outlineLvl w:val="1"/>
              <w:rPr>
                <w:rFonts w:ascii="宋体" w:hAnsi="宋体"/>
              </w:rPr>
            </w:pPr>
            <w:r>
              <w:rPr>
                <w:rFonts w:ascii="宋体" w:hAnsi="宋体" w:hint="eastAsia"/>
              </w:rPr>
              <w:t>①重点难点及应对措施极合理、条理极清晰、针对性极强、可操作性极强的得40%；</w:t>
            </w:r>
          </w:p>
          <w:p>
            <w:pPr>
              <w:adjustRightInd w:val="0"/>
              <w:snapToGrid w:val="0"/>
              <w:spacing w:after="60" w:line="360" w:lineRule="auto"/>
              <w:jc w:val="left"/>
              <w:textAlignment w:val="baseline"/>
              <w:outlineLvl w:val="1"/>
              <w:rPr>
                <w:rFonts w:ascii="宋体" w:hAnsi="宋体"/>
              </w:rPr>
            </w:pPr>
            <w:r>
              <w:rPr>
                <w:rFonts w:ascii="宋体" w:hAnsi="宋体" w:hint="eastAsia"/>
              </w:rPr>
              <w:t>②重点难点及应对措施合理、条理清晰、针对性强、可操作性强的得30%；</w:t>
            </w:r>
          </w:p>
          <w:p>
            <w:pPr>
              <w:adjustRightInd w:val="0"/>
              <w:snapToGrid w:val="0"/>
              <w:spacing w:after="60" w:line="360" w:lineRule="auto"/>
              <w:jc w:val="left"/>
              <w:textAlignment w:val="baseline"/>
              <w:outlineLvl w:val="1"/>
              <w:rPr>
                <w:rFonts w:ascii="宋体" w:hAnsi="宋体"/>
              </w:rPr>
            </w:pPr>
            <w:r>
              <w:rPr>
                <w:rFonts w:ascii="宋体" w:hAnsi="宋体" w:hint="eastAsia"/>
              </w:rPr>
              <w:t>③重点难点及应对措施一般合理、条理一般、针对性一般、可操作性一般的得20%；</w:t>
            </w:r>
          </w:p>
          <w:p>
            <w:pPr>
              <w:adjustRightInd w:val="0"/>
              <w:snapToGrid w:val="0"/>
              <w:spacing w:after="60" w:line="360" w:lineRule="auto"/>
              <w:jc w:val="left"/>
              <w:textAlignment w:val="baseline"/>
              <w:outlineLvl w:val="1"/>
              <w:rPr>
                <w:rFonts w:ascii="宋体" w:eastAsia="宋体" w:hAnsi="宋体"/>
                <w:szCs w:val="21"/>
              </w:rPr>
            </w:pPr>
            <w:r>
              <w:rPr>
                <w:rFonts w:ascii="宋体" w:hAnsi="宋体" w:hint="eastAsia"/>
              </w:rPr>
              <w:t>④重点难点及应对措施不合理、条理不清晰、针对性不强、可操作性差的不得分；</w:t>
            </w:r>
          </w:p>
        </w:tc>
      </w:tr>
      <w:tr>
        <w:tblPrEx>
          <w:tblW w:w="9779" w:type="dxa"/>
          <w:jc w:val="center"/>
          <w:tblLayout w:type="fixed"/>
          <w:tblCellMar>
            <w:top w:w="0" w:type="dxa"/>
            <w:left w:w="108" w:type="dxa"/>
            <w:bottom w:w="0" w:type="dxa"/>
            <w:right w:w="108" w:type="dxa"/>
          </w:tblCellMar>
        </w:tblPrEx>
        <w:trPr>
          <w:jc w:val="center"/>
        </w:trPr>
        <w:tc>
          <w:tcPr>
            <w:tcW w:w="692"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b/>
                <w:szCs w:val="21"/>
              </w:rPr>
            </w:pPr>
          </w:p>
        </w:tc>
        <w:tc>
          <w:tcPr>
            <w:tcW w:w="727" w:type="dxa"/>
            <w:tcBorders>
              <w:top w:val="single" w:sz="4" w:space="0" w:color="auto"/>
              <w:left w:val="single" w:sz="4" w:space="0" w:color="auto"/>
              <w:bottom w:val="single" w:sz="4" w:space="0" w:color="auto"/>
              <w:right w:val="single" w:sz="4" w:space="0" w:color="auto"/>
            </w:tcBorders>
            <w:vAlign w:val="center"/>
          </w:tcPr>
          <w:p>
            <w:pPr>
              <w:spacing w:after="60" w:line="360" w:lineRule="auto"/>
              <w:jc w:val="center"/>
              <w:rPr>
                <w:rFonts w:ascii="宋体" w:eastAsia="宋体" w:hAnsi="宋体"/>
                <w:szCs w:val="21"/>
              </w:rPr>
            </w:pPr>
            <w:r>
              <w:rPr>
                <w:rFonts w:ascii="宋体" w:hAnsi="宋体" w:hint="eastAsia"/>
              </w:rPr>
              <w:t>5</w:t>
            </w:r>
          </w:p>
        </w:tc>
        <w:tc>
          <w:tcPr>
            <w:tcW w:w="1698" w:type="dxa"/>
            <w:tcBorders>
              <w:top w:val="single" w:sz="4" w:space="0" w:color="auto"/>
              <w:left w:val="single" w:sz="4" w:space="0" w:color="auto"/>
              <w:bottom w:val="single" w:sz="4" w:space="0" w:color="auto"/>
              <w:right w:val="single" w:sz="4" w:space="0" w:color="auto"/>
            </w:tcBorders>
            <w:vAlign w:val="center"/>
          </w:tcPr>
          <w:p>
            <w:pPr>
              <w:widowControl/>
              <w:snapToGrid w:val="0"/>
              <w:spacing w:after="60" w:line="360" w:lineRule="auto"/>
              <w:jc w:val="center"/>
              <w:rPr>
                <w:rFonts w:ascii="宋体" w:eastAsia="宋体" w:hAnsi="宋体"/>
                <w:szCs w:val="21"/>
              </w:rPr>
            </w:pPr>
            <w:r>
              <w:rPr>
                <w:rFonts w:ascii="宋体" w:hAnsi="宋体" w:hint="eastAsia"/>
              </w:rPr>
              <w:t>后续服务评价</w:t>
            </w:r>
          </w:p>
        </w:tc>
        <w:tc>
          <w:tcPr>
            <w:tcW w:w="445" w:type="dxa"/>
            <w:tcBorders>
              <w:top w:val="single" w:sz="4" w:space="0" w:color="auto"/>
              <w:left w:val="single" w:sz="4" w:space="0" w:color="auto"/>
              <w:bottom w:val="single" w:sz="4" w:space="0" w:color="auto"/>
              <w:right w:val="single" w:sz="4" w:space="0" w:color="auto"/>
            </w:tcBorders>
            <w:vAlign w:val="center"/>
          </w:tcPr>
          <w:p>
            <w:pPr>
              <w:widowControl/>
              <w:snapToGrid w:val="0"/>
              <w:spacing w:after="60" w:line="360" w:lineRule="auto"/>
              <w:jc w:val="center"/>
              <w:rPr>
                <w:rFonts w:ascii="宋体" w:eastAsia="宋体" w:hAnsi="宋体"/>
                <w:szCs w:val="21"/>
              </w:rPr>
            </w:pPr>
            <w:r>
              <w:rPr>
                <w:rFonts w:ascii="宋体" w:hAnsi="宋体" w:hint="eastAsia"/>
              </w:rPr>
              <w:t>3</w:t>
            </w:r>
          </w:p>
        </w:tc>
        <w:tc>
          <w:tcPr>
            <w:tcW w:w="6217" w:type="dxa"/>
            <w:tcBorders>
              <w:top w:val="single" w:sz="4" w:space="0" w:color="auto"/>
              <w:left w:val="single" w:sz="4" w:space="0" w:color="auto"/>
              <w:bottom w:val="single" w:sz="4" w:space="0" w:color="auto"/>
              <w:right w:val="single" w:sz="4" w:space="0" w:color="auto"/>
            </w:tcBorders>
            <w:vAlign w:val="center"/>
          </w:tcPr>
          <w:p>
            <w:pPr>
              <w:adjustRightInd w:val="0"/>
              <w:spacing w:after="60" w:line="360" w:lineRule="auto"/>
              <w:jc w:val="left"/>
              <w:textAlignment w:val="baseline"/>
              <w:outlineLvl w:val="1"/>
              <w:rPr>
                <w:rFonts w:ascii="宋体" w:hAnsi="宋体"/>
              </w:rPr>
            </w:pPr>
            <w:r>
              <w:rPr>
                <w:rFonts w:ascii="宋体" w:hAnsi="宋体" w:hint="eastAsia"/>
              </w:rPr>
              <w:t>1、投标人提出的工作服务承诺以及售后服务承诺完善，内容包括但不限于：</w:t>
            </w:r>
          </w:p>
          <w:p>
            <w:pPr>
              <w:adjustRightInd w:val="0"/>
              <w:spacing w:after="60" w:line="360" w:lineRule="auto"/>
              <w:jc w:val="left"/>
              <w:textAlignment w:val="baseline"/>
              <w:outlineLvl w:val="1"/>
              <w:rPr>
                <w:rFonts w:ascii="宋体" w:hAnsi="宋体"/>
              </w:rPr>
            </w:pPr>
            <w:r>
              <w:rPr>
                <w:rFonts w:ascii="宋体" w:hAnsi="宋体" w:hint="eastAsia"/>
              </w:rPr>
              <w:t>①后续服务人员；</w:t>
            </w:r>
          </w:p>
          <w:p>
            <w:pPr>
              <w:adjustRightInd w:val="0"/>
              <w:spacing w:after="60" w:line="360" w:lineRule="auto"/>
              <w:jc w:val="left"/>
              <w:textAlignment w:val="baseline"/>
              <w:outlineLvl w:val="1"/>
              <w:rPr>
                <w:rFonts w:ascii="宋体" w:hAnsi="宋体"/>
              </w:rPr>
            </w:pPr>
            <w:r>
              <w:rPr>
                <w:rFonts w:ascii="宋体" w:hAnsi="宋体" w:hint="eastAsia"/>
              </w:rPr>
              <w:t>②后续服务保障；</w:t>
            </w:r>
          </w:p>
          <w:p>
            <w:pPr>
              <w:adjustRightInd w:val="0"/>
              <w:spacing w:after="60" w:line="360" w:lineRule="auto"/>
              <w:jc w:val="left"/>
              <w:textAlignment w:val="baseline"/>
              <w:outlineLvl w:val="1"/>
              <w:rPr>
                <w:rFonts w:ascii="宋体" w:hAnsi="宋体"/>
              </w:rPr>
            </w:pPr>
            <w:r>
              <w:rPr>
                <w:rFonts w:ascii="宋体" w:hAnsi="宋体" w:hint="eastAsia"/>
              </w:rPr>
              <w:t xml:space="preserve">③后续服务承诺。 </w:t>
            </w:r>
          </w:p>
          <w:p>
            <w:pPr>
              <w:adjustRightInd w:val="0"/>
              <w:snapToGrid w:val="0"/>
              <w:spacing w:after="60" w:line="360" w:lineRule="auto"/>
              <w:jc w:val="left"/>
              <w:textAlignment w:val="baseline"/>
              <w:outlineLvl w:val="1"/>
              <w:rPr>
                <w:rFonts w:ascii="宋体" w:hAnsi="宋体"/>
              </w:rPr>
            </w:pPr>
            <w:r>
              <w:rPr>
                <w:rFonts w:ascii="宋体" w:hAnsi="宋体" w:hint="eastAsia"/>
              </w:rPr>
              <w:t>投标文件包含以上任意一项内容，即可得20%，三项全部包含的，得60%。</w:t>
            </w:r>
          </w:p>
          <w:p>
            <w:pPr>
              <w:adjustRightInd w:val="0"/>
              <w:snapToGrid w:val="0"/>
              <w:spacing w:after="60" w:line="360" w:lineRule="auto"/>
              <w:jc w:val="left"/>
              <w:textAlignment w:val="baseline"/>
              <w:outlineLvl w:val="1"/>
              <w:rPr>
                <w:rFonts w:ascii="宋体" w:hAnsi="宋体"/>
              </w:rPr>
            </w:pPr>
            <w:r>
              <w:rPr>
                <w:rFonts w:ascii="宋体" w:hAnsi="宋体" w:hint="eastAsia"/>
              </w:rPr>
              <w:t>2、在此基础上，专家根据各供应商的具体相应内容按量化的评审因素指标进一步评审。</w:t>
            </w:r>
          </w:p>
          <w:p>
            <w:pPr>
              <w:adjustRightInd w:val="0"/>
              <w:snapToGrid w:val="0"/>
              <w:spacing w:after="60" w:line="360" w:lineRule="auto"/>
              <w:jc w:val="left"/>
              <w:textAlignment w:val="baseline"/>
              <w:outlineLvl w:val="1"/>
              <w:rPr>
                <w:rFonts w:ascii="宋体" w:hAnsi="宋体"/>
              </w:rPr>
            </w:pPr>
            <w:r>
              <w:rPr>
                <w:rFonts w:ascii="宋体" w:hAnsi="宋体" w:hint="eastAsia"/>
              </w:rPr>
              <w:t>①后续服务内容极合理、条理极清晰、针对性极强、可操作性极强的得40%；</w:t>
            </w:r>
          </w:p>
          <w:p>
            <w:pPr>
              <w:adjustRightInd w:val="0"/>
              <w:snapToGrid w:val="0"/>
              <w:spacing w:after="60" w:line="360" w:lineRule="auto"/>
              <w:jc w:val="left"/>
              <w:textAlignment w:val="baseline"/>
              <w:outlineLvl w:val="1"/>
              <w:rPr>
                <w:rFonts w:ascii="宋体" w:hAnsi="宋体"/>
              </w:rPr>
            </w:pPr>
            <w:r>
              <w:rPr>
                <w:rFonts w:ascii="宋体" w:hAnsi="宋体" w:hint="eastAsia"/>
              </w:rPr>
              <w:t>②后续服务内容合理、条理清晰、针对性强、可操作性强的得30%；</w:t>
            </w:r>
          </w:p>
          <w:p>
            <w:pPr>
              <w:adjustRightInd w:val="0"/>
              <w:snapToGrid w:val="0"/>
              <w:spacing w:after="60" w:line="360" w:lineRule="auto"/>
              <w:jc w:val="left"/>
              <w:textAlignment w:val="baseline"/>
              <w:outlineLvl w:val="1"/>
              <w:rPr>
                <w:rFonts w:ascii="宋体" w:hAnsi="宋体"/>
              </w:rPr>
            </w:pPr>
            <w:r>
              <w:rPr>
                <w:rFonts w:ascii="宋体" w:hAnsi="宋体" w:hint="eastAsia"/>
              </w:rPr>
              <w:t>③后续服务内容一般合理、条理一般、针对性一般、可操作性一般的得20%；</w:t>
            </w:r>
          </w:p>
          <w:p>
            <w:pPr>
              <w:adjustRightInd w:val="0"/>
              <w:snapToGrid w:val="0"/>
              <w:spacing w:after="60" w:line="360" w:lineRule="auto"/>
              <w:jc w:val="left"/>
              <w:textAlignment w:val="baseline"/>
              <w:outlineLvl w:val="1"/>
              <w:rPr>
                <w:rFonts w:ascii="宋体" w:eastAsia="宋体" w:hAnsi="宋体"/>
                <w:szCs w:val="21"/>
              </w:rPr>
            </w:pPr>
            <w:r>
              <w:rPr>
                <w:rFonts w:ascii="宋体" w:hAnsi="宋体" w:hint="eastAsia"/>
              </w:rPr>
              <w:t>④后续服务内容不合理、条理不清晰、针对性不强、可操作性差的不得分；</w:t>
            </w:r>
          </w:p>
        </w:tc>
      </w:tr>
      <w:tr>
        <w:tblPrEx>
          <w:tblW w:w="9779" w:type="dxa"/>
          <w:jc w:val="center"/>
          <w:tblLayout w:type="fixed"/>
          <w:tblCellMar>
            <w:top w:w="0" w:type="dxa"/>
            <w:left w:w="108" w:type="dxa"/>
            <w:bottom w:w="0" w:type="dxa"/>
            <w:right w:w="108" w:type="dxa"/>
          </w:tblCellMar>
        </w:tblPrEx>
        <w:trPr>
          <w:jc w:val="center"/>
        </w:trPr>
        <w:tc>
          <w:tcPr>
            <w:tcW w:w="692"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b/>
                <w:szCs w:val="21"/>
              </w:rPr>
            </w:pPr>
          </w:p>
        </w:tc>
        <w:tc>
          <w:tcPr>
            <w:tcW w:w="727" w:type="dxa"/>
            <w:tcBorders>
              <w:top w:val="single" w:sz="4" w:space="0" w:color="auto"/>
              <w:left w:val="single" w:sz="4" w:space="0" w:color="auto"/>
              <w:bottom w:val="single" w:sz="4" w:space="0" w:color="auto"/>
              <w:right w:val="single" w:sz="4" w:space="0" w:color="auto"/>
            </w:tcBorders>
            <w:vAlign w:val="center"/>
          </w:tcPr>
          <w:p>
            <w:pPr>
              <w:spacing w:after="60" w:line="360" w:lineRule="auto"/>
              <w:jc w:val="center"/>
              <w:rPr>
                <w:rFonts w:ascii="宋体" w:eastAsia="宋体" w:hAnsi="宋体"/>
                <w:szCs w:val="21"/>
              </w:rPr>
            </w:pPr>
            <w:r>
              <w:rPr>
                <w:rFonts w:ascii="宋体" w:hAnsi="宋体" w:hint="eastAsia"/>
              </w:rPr>
              <w:t>6</w:t>
            </w:r>
          </w:p>
        </w:tc>
        <w:tc>
          <w:tcPr>
            <w:tcW w:w="1698" w:type="dxa"/>
            <w:tcBorders>
              <w:top w:val="single" w:sz="4" w:space="0" w:color="auto"/>
              <w:left w:val="single" w:sz="4" w:space="0" w:color="auto"/>
              <w:bottom w:val="single" w:sz="4" w:space="0" w:color="auto"/>
              <w:right w:val="single" w:sz="4" w:space="0" w:color="auto"/>
            </w:tcBorders>
            <w:vAlign w:val="center"/>
          </w:tcPr>
          <w:p>
            <w:pPr>
              <w:widowControl/>
              <w:snapToGrid w:val="0"/>
              <w:spacing w:after="60" w:line="360" w:lineRule="auto"/>
              <w:jc w:val="center"/>
              <w:rPr>
                <w:rFonts w:ascii="宋体" w:eastAsia="宋体" w:hAnsi="宋体"/>
                <w:szCs w:val="21"/>
              </w:rPr>
            </w:pPr>
            <w:r>
              <w:rPr>
                <w:rFonts w:ascii="宋体" w:hAnsi="宋体" w:hint="eastAsia"/>
              </w:rPr>
              <w:t>项目负责人（律师）情况评价（仅限1人）</w:t>
            </w:r>
          </w:p>
        </w:tc>
        <w:tc>
          <w:tcPr>
            <w:tcW w:w="445" w:type="dxa"/>
            <w:tcBorders>
              <w:top w:val="single" w:sz="4" w:space="0" w:color="auto"/>
              <w:left w:val="single" w:sz="4" w:space="0" w:color="auto"/>
              <w:bottom w:val="single" w:sz="4" w:space="0" w:color="auto"/>
              <w:right w:val="single" w:sz="4" w:space="0" w:color="auto"/>
            </w:tcBorders>
            <w:vAlign w:val="center"/>
          </w:tcPr>
          <w:p>
            <w:pPr>
              <w:widowControl/>
              <w:snapToGrid w:val="0"/>
              <w:spacing w:after="60" w:line="360" w:lineRule="auto"/>
              <w:jc w:val="center"/>
              <w:rPr>
                <w:rFonts w:ascii="宋体" w:eastAsia="宋体" w:hAnsi="宋体"/>
                <w:szCs w:val="21"/>
              </w:rPr>
            </w:pPr>
            <w:r>
              <w:rPr>
                <w:rFonts w:ascii="宋体" w:hAnsi="宋体" w:hint="eastAsia"/>
              </w:rPr>
              <w:t>14</w:t>
            </w:r>
          </w:p>
        </w:tc>
        <w:tc>
          <w:tcPr>
            <w:tcW w:w="6217" w:type="dxa"/>
            <w:tcBorders>
              <w:top w:val="single" w:sz="4" w:space="0" w:color="auto"/>
              <w:left w:val="single" w:sz="4" w:space="0" w:color="auto"/>
              <w:bottom w:val="single" w:sz="4" w:space="0" w:color="auto"/>
              <w:right w:val="single" w:sz="4" w:space="0" w:color="auto"/>
            </w:tcBorders>
            <w:vAlign w:val="center"/>
          </w:tcPr>
          <w:p>
            <w:pPr>
              <w:snapToGrid w:val="0"/>
              <w:spacing w:line="360" w:lineRule="auto"/>
              <w:rPr>
                <w:rFonts w:ascii="宋体" w:hAnsi="宋体"/>
              </w:rPr>
            </w:pPr>
            <w:r>
              <w:rPr>
                <w:rFonts w:ascii="宋体" w:hAnsi="宋体" w:hint="eastAsia"/>
              </w:rPr>
              <w:t>拟安排的团队负责人，且须为投标人自有员工：</w:t>
            </w:r>
          </w:p>
          <w:p>
            <w:pPr>
              <w:snapToGrid w:val="0"/>
              <w:spacing w:line="360" w:lineRule="auto"/>
              <w:rPr>
                <w:rFonts w:ascii="宋体" w:hAnsi="宋体"/>
              </w:rPr>
            </w:pPr>
            <w:r>
              <w:rPr>
                <w:rFonts w:hint="eastAsia"/>
              </w:rPr>
              <w:t>1.</w:t>
            </w:r>
            <w:r>
              <w:rPr>
                <w:rFonts w:ascii="宋体" w:hAnsi="宋体" w:hint="eastAsia"/>
              </w:rPr>
              <w:t>取得律师执业证，且：</w:t>
            </w:r>
          </w:p>
          <w:p>
            <w:pPr>
              <w:snapToGrid w:val="0"/>
              <w:spacing w:line="360" w:lineRule="auto"/>
              <w:rPr>
                <w:rFonts w:ascii="宋体" w:hAnsi="宋体"/>
              </w:rPr>
            </w:pPr>
            <w:r>
              <w:rPr>
                <w:rFonts w:ascii="宋体" w:hAnsi="宋体" w:hint="eastAsia"/>
              </w:rPr>
              <w:t>①执业年限≥8年的，得60%；</w:t>
            </w:r>
          </w:p>
          <w:p>
            <w:pPr>
              <w:snapToGrid w:val="0"/>
              <w:spacing w:line="360" w:lineRule="auto"/>
              <w:rPr>
                <w:rFonts w:ascii="宋体" w:hAnsi="宋体"/>
              </w:rPr>
            </w:pPr>
            <w:r>
              <w:rPr>
                <w:rFonts w:ascii="宋体" w:hAnsi="宋体" w:hint="eastAsia"/>
              </w:rPr>
              <w:t>②5年≤执业年限＜8年的，得30%;</w:t>
            </w:r>
          </w:p>
          <w:p>
            <w:pPr>
              <w:snapToGrid w:val="0"/>
              <w:spacing w:line="360" w:lineRule="auto"/>
              <w:rPr>
                <w:rFonts w:ascii="宋体" w:hAnsi="宋体"/>
              </w:rPr>
            </w:pPr>
            <w:r>
              <w:rPr>
                <w:rFonts w:ascii="宋体" w:hAnsi="宋体" w:hint="eastAsia"/>
              </w:rPr>
              <w:t>③执业年限＜5年的，不得分。</w:t>
            </w:r>
          </w:p>
          <w:p>
            <w:pPr>
              <w:snapToGrid w:val="0"/>
              <w:spacing w:line="360" w:lineRule="auto"/>
              <w:rPr>
                <w:rFonts w:ascii="宋体" w:hAnsi="宋体"/>
              </w:rPr>
            </w:pPr>
            <w:r>
              <w:rPr>
                <w:rFonts w:ascii="宋体" w:hAnsi="宋体" w:hint="eastAsia"/>
              </w:rPr>
              <w:t xml:space="preserve"> 此项最高得60%。</w:t>
            </w:r>
          </w:p>
          <w:p>
            <w:pPr>
              <w:snapToGrid w:val="0"/>
              <w:spacing w:line="360" w:lineRule="auto"/>
              <w:rPr>
                <w:rFonts w:ascii="宋体" w:hAnsi="宋体"/>
              </w:rPr>
            </w:pPr>
            <w:r>
              <w:rPr>
                <w:rFonts w:ascii="宋体" w:hAnsi="宋体" w:hint="eastAsia"/>
              </w:rPr>
              <w:t>2.2018年1月1日以后（以合同签订时间为准）：</w:t>
            </w:r>
          </w:p>
          <w:p>
            <w:pPr>
              <w:snapToGrid w:val="0"/>
              <w:spacing w:line="360" w:lineRule="auto"/>
              <w:rPr>
                <w:rFonts w:ascii="宋体" w:hAnsi="宋体"/>
              </w:rPr>
            </w:pPr>
            <w:r>
              <w:rPr>
                <w:rFonts w:ascii="宋体" w:hAnsi="宋体" w:hint="eastAsia"/>
              </w:rPr>
              <w:t>①承担过国家机关或事业单位委托的房屋征收（或土地整备）项目专项律师服务≥5个的，得40%；</w:t>
            </w:r>
          </w:p>
          <w:p>
            <w:pPr>
              <w:snapToGrid w:val="0"/>
              <w:spacing w:line="360" w:lineRule="auto"/>
              <w:rPr>
                <w:rFonts w:ascii="宋体" w:hAnsi="宋体"/>
              </w:rPr>
            </w:pPr>
            <w:r>
              <w:rPr>
                <w:rFonts w:ascii="宋体" w:hAnsi="宋体" w:hint="eastAsia"/>
              </w:rPr>
              <w:t>②3个≤承担过国家机关或事业单位委托的房屋征收（或土地整备）项目专项律师服务＜5个的，得20%；</w:t>
            </w:r>
          </w:p>
          <w:p>
            <w:pPr>
              <w:snapToGrid w:val="0"/>
              <w:spacing w:line="360" w:lineRule="auto"/>
              <w:rPr>
                <w:rFonts w:ascii="宋体" w:hAnsi="宋体"/>
              </w:rPr>
            </w:pPr>
            <w:r>
              <w:rPr>
                <w:rFonts w:ascii="宋体" w:hAnsi="宋体" w:hint="eastAsia"/>
              </w:rPr>
              <w:t>③1个≤承担过国家机关或事业单位委托的房屋征收（或土地整备）项目专项律师服务＜3个的，得10%；</w:t>
            </w:r>
          </w:p>
          <w:p>
            <w:pPr>
              <w:snapToGrid w:val="0"/>
              <w:spacing w:line="360" w:lineRule="auto"/>
              <w:rPr>
                <w:rFonts w:ascii="宋体" w:hAnsi="宋体"/>
              </w:rPr>
            </w:pPr>
            <w:r>
              <w:rPr>
                <w:rFonts w:ascii="宋体" w:hAnsi="宋体" w:hint="eastAsia"/>
              </w:rPr>
              <w:t>本项最高得40%。</w:t>
            </w:r>
          </w:p>
          <w:p>
            <w:pPr>
              <w:snapToGrid w:val="0"/>
              <w:spacing w:line="360" w:lineRule="auto"/>
              <w:rPr>
                <w:rFonts w:ascii="宋体" w:hAnsi="宋体"/>
              </w:rPr>
            </w:pPr>
            <w:r>
              <w:rPr>
                <w:rFonts w:ascii="宋体" w:hAnsi="宋体" w:hint="eastAsia"/>
              </w:rPr>
              <w:t>以上合计最高得100%。</w:t>
            </w:r>
          </w:p>
          <w:p>
            <w:pPr>
              <w:snapToGrid w:val="0"/>
              <w:spacing w:line="360" w:lineRule="auto"/>
              <w:rPr>
                <w:rFonts w:ascii="宋体" w:hAnsi="宋体"/>
                <w:b/>
                <w:color w:val="0000FF"/>
              </w:rPr>
            </w:pPr>
            <w:r>
              <w:rPr>
                <w:rFonts w:ascii="宋体" w:hAnsi="宋体" w:hint="eastAsia"/>
                <w:b/>
                <w:color w:val="0000FF"/>
              </w:rPr>
              <w:t>证明材料：</w:t>
            </w:r>
          </w:p>
          <w:p>
            <w:pPr>
              <w:snapToGrid w:val="0"/>
              <w:spacing w:line="360" w:lineRule="auto"/>
              <w:rPr>
                <w:rFonts w:ascii="宋体" w:hAnsi="宋体"/>
                <w:color w:val="0000FF"/>
              </w:rPr>
            </w:pPr>
            <w:r>
              <w:rPr>
                <w:rFonts w:ascii="宋体" w:hAnsi="宋体" w:hint="eastAsia"/>
                <w:color w:val="0000FF"/>
              </w:rPr>
              <w:t>1、第1项提供律师执业证书扫描件，律师执业年限以执业证发证时间计算（以6个月为标准四舍五入，即还差不到6个月满整年的，按整年计算；还差6个月（含）以上满整年的，按上一年计算）。</w:t>
            </w:r>
          </w:p>
          <w:p>
            <w:pPr>
              <w:snapToGrid w:val="0"/>
              <w:spacing w:line="360" w:lineRule="auto"/>
              <w:rPr>
                <w:rFonts w:ascii="宋体" w:hAnsi="宋体"/>
                <w:color w:val="0000FF"/>
              </w:rPr>
            </w:pPr>
            <w:r>
              <w:rPr>
                <w:rFonts w:ascii="宋体" w:hAnsi="宋体" w:hint="eastAsia"/>
                <w:color w:val="0000FF"/>
              </w:rPr>
              <w:t>关于律师执业年限执业证明材料，如律师执业证发证日期年限满足评分要求则提供律师执业证即可；如律师执业证因换新证原因发证日期变动则须同时提供由市级或以上司法行政机关或律协出具的相关年限证明文件。</w:t>
            </w:r>
          </w:p>
          <w:p>
            <w:pPr>
              <w:snapToGrid w:val="0"/>
              <w:spacing w:line="360" w:lineRule="auto"/>
              <w:rPr>
                <w:rFonts w:ascii="宋体" w:hAnsi="宋体"/>
                <w:color w:val="0000FF"/>
              </w:rPr>
            </w:pPr>
            <w:r>
              <w:rPr>
                <w:rFonts w:ascii="宋体" w:hAnsi="宋体" w:hint="eastAsia"/>
                <w:color w:val="0000FF"/>
              </w:rPr>
              <w:t>2、提供合同关键页扫描件（须体现该人员为项目参与人，如无法体现，须另附合同甲方（须为国家机关或事业单位）出具的加盖公章的证明材料（证明材料须体现该人员为项目参与人）；</w:t>
            </w:r>
          </w:p>
          <w:p>
            <w:pPr>
              <w:snapToGrid w:val="0"/>
              <w:spacing w:line="360" w:lineRule="auto"/>
              <w:rPr>
                <w:rFonts w:ascii="宋体" w:hAnsi="宋体"/>
                <w:color w:val="0000FF"/>
              </w:rPr>
            </w:pPr>
            <w:r>
              <w:rPr>
                <w:rFonts w:ascii="宋体" w:hAnsi="宋体" w:hint="eastAsia"/>
                <w:color w:val="0000FF"/>
              </w:rPr>
              <w:t>3、同时提供该人员开标日当月（或前一个月）在本单位缴纳且载有社保部门（或税务部门）公章（或业务章）的社保缴交证明材料（如开标日当月或前一个月的社保材料因社保部门（或税务部门）原因暂时无法取得，则可以往前顺延一个月）。</w:t>
            </w:r>
          </w:p>
          <w:p>
            <w:pPr>
              <w:snapToGrid w:val="0"/>
              <w:spacing w:line="360" w:lineRule="auto"/>
              <w:rPr>
                <w:rFonts w:ascii="宋体" w:eastAsia="宋体" w:hAnsi="宋体"/>
                <w:szCs w:val="21"/>
              </w:rPr>
            </w:pPr>
            <w:r>
              <w:rPr>
                <w:rFonts w:ascii="宋体" w:hAnsi="宋体" w:hint="eastAsia"/>
                <w:color w:val="0000FF"/>
              </w:rPr>
              <w:t>4、未按要求提供相关证明材料（或相关证明材料无法判断是否符合评分要求）的不计得分，原件备查。</w:t>
            </w:r>
          </w:p>
        </w:tc>
      </w:tr>
      <w:tr>
        <w:tblPrEx>
          <w:tblW w:w="9779" w:type="dxa"/>
          <w:jc w:val="center"/>
          <w:tblLayout w:type="fixed"/>
          <w:tblCellMar>
            <w:top w:w="0" w:type="dxa"/>
            <w:left w:w="108" w:type="dxa"/>
            <w:bottom w:w="0" w:type="dxa"/>
            <w:right w:w="108" w:type="dxa"/>
          </w:tblCellMar>
        </w:tblPrEx>
        <w:trPr>
          <w:jc w:val="center"/>
        </w:trPr>
        <w:tc>
          <w:tcPr>
            <w:tcW w:w="692"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b/>
                <w:szCs w:val="21"/>
              </w:rPr>
            </w:pPr>
          </w:p>
        </w:tc>
        <w:tc>
          <w:tcPr>
            <w:tcW w:w="727" w:type="dxa"/>
            <w:tcBorders>
              <w:top w:val="single" w:sz="4" w:space="0" w:color="auto"/>
              <w:left w:val="single" w:sz="4" w:space="0" w:color="auto"/>
              <w:bottom w:val="single" w:sz="4" w:space="0" w:color="auto"/>
              <w:right w:val="single" w:sz="4" w:space="0" w:color="auto"/>
            </w:tcBorders>
            <w:vAlign w:val="center"/>
          </w:tcPr>
          <w:p>
            <w:pPr>
              <w:spacing w:after="60"/>
              <w:jc w:val="center"/>
              <w:rPr>
                <w:rFonts w:ascii="宋体" w:eastAsia="宋体" w:hAnsi="宋体"/>
                <w:szCs w:val="21"/>
              </w:rPr>
            </w:pPr>
            <w:r>
              <w:rPr>
                <w:rFonts w:ascii="宋体" w:hAnsi="宋体" w:hint="eastAsia"/>
              </w:rPr>
              <w:t>7</w:t>
            </w:r>
          </w:p>
        </w:tc>
        <w:tc>
          <w:tcPr>
            <w:tcW w:w="1698" w:type="dxa"/>
            <w:tcBorders>
              <w:top w:val="single" w:sz="4" w:space="0" w:color="auto"/>
              <w:left w:val="single" w:sz="4" w:space="0" w:color="auto"/>
              <w:bottom w:val="single" w:sz="4" w:space="0" w:color="auto"/>
              <w:right w:val="single" w:sz="4" w:space="0" w:color="auto"/>
            </w:tcBorders>
            <w:vAlign w:val="center"/>
          </w:tcPr>
          <w:p>
            <w:pPr>
              <w:widowControl/>
              <w:snapToGrid w:val="0"/>
              <w:spacing w:after="60" w:line="360" w:lineRule="auto"/>
              <w:jc w:val="center"/>
              <w:rPr>
                <w:rFonts w:ascii="宋体" w:eastAsia="宋体" w:hAnsi="宋体"/>
                <w:szCs w:val="21"/>
              </w:rPr>
            </w:pPr>
            <w:r>
              <w:rPr>
                <w:rFonts w:ascii="宋体" w:hAnsi="宋体" w:hint="eastAsia"/>
              </w:rPr>
              <w:t>拟安排的项目团队成员情况评价（项目负责人除外）</w:t>
            </w:r>
          </w:p>
        </w:tc>
        <w:tc>
          <w:tcPr>
            <w:tcW w:w="445" w:type="dxa"/>
            <w:tcBorders>
              <w:top w:val="single" w:sz="4" w:space="0" w:color="auto"/>
              <w:left w:val="single" w:sz="4" w:space="0" w:color="auto"/>
              <w:bottom w:val="single" w:sz="4" w:space="0" w:color="auto"/>
              <w:right w:val="single" w:sz="4" w:space="0" w:color="auto"/>
            </w:tcBorders>
            <w:vAlign w:val="center"/>
          </w:tcPr>
          <w:p>
            <w:pPr>
              <w:widowControl/>
              <w:snapToGrid w:val="0"/>
              <w:spacing w:after="60" w:line="360" w:lineRule="auto"/>
              <w:jc w:val="center"/>
              <w:rPr>
                <w:rFonts w:ascii="宋体" w:eastAsia="宋体" w:hAnsi="宋体"/>
                <w:szCs w:val="21"/>
              </w:rPr>
            </w:pPr>
            <w:r>
              <w:rPr>
                <w:rFonts w:ascii="宋体" w:hAnsi="宋体" w:hint="eastAsia"/>
              </w:rPr>
              <w:t>14</w:t>
            </w:r>
          </w:p>
        </w:tc>
        <w:tc>
          <w:tcPr>
            <w:tcW w:w="6217" w:type="dxa"/>
            <w:tcBorders>
              <w:top w:val="single" w:sz="4" w:space="0" w:color="auto"/>
              <w:left w:val="single" w:sz="4" w:space="0" w:color="auto"/>
              <w:bottom w:val="single" w:sz="4" w:space="0" w:color="auto"/>
              <w:right w:val="single" w:sz="4" w:space="0" w:color="auto"/>
            </w:tcBorders>
            <w:vAlign w:val="center"/>
          </w:tcPr>
          <w:p>
            <w:pPr>
              <w:snapToGrid w:val="0"/>
              <w:spacing w:line="360" w:lineRule="auto"/>
              <w:rPr>
                <w:rFonts w:ascii="宋体" w:hAnsi="宋体"/>
                <w:dstrike/>
              </w:rPr>
            </w:pPr>
            <w:r>
              <w:rPr>
                <w:rFonts w:ascii="宋体" w:hAnsi="宋体" w:cs="Arial" w:hint="eastAsia"/>
              </w:rPr>
              <w:t>拟安排的项目团队成员（项目负责人除外）须为</w:t>
            </w:r>
            <w:r>
              <w:rPr>
                <w:rFonts w:ascii="宋体" w:hAnsi="宋体" w:hint="eastAsia"/>
              </w:rPr>
              <w:t>投标人的</w:t>
            </w:r>
            <w:r>
              <w:rPr>
                <w:rFonts w:ascii="宋体" w:hAnsi="宋体" w:cs="Arial" w:hint="eastAsia"/>
              </w:rPr>
              <w:t>自有员工：</w:t>
            </w:r>
          </w:p>
          <w:p>
            <w:pPr>
              <w:snapToGrid w:val="0"/>
              <w:spacing w:line="360" w:lineRule="auto"/>
              <w:rPr>
                <w:rFonts w:ascii="宋体" w:hAnsi="宋体"/>
              </w:rPr>
            </w:pPr>
            <w:r>
              <w:rPr>
                <w:rFonts w:ascii="宋体" w:hAnsi="宋体" w:hint="eastAsia"/>
              </w:rPr>
              <w:t>1.具有律师执业证的，每提供一人得10%，最高得30%；</w:t>
            </w:r>
          </w:p>
          <w:p>
            <w:pPr>
              <w:snapToGrid w:val="0"/>
              <w:spacing w:line="360" w:lineRule="auto"/>
              <w:rPr>
                <w:rFonts w:ascii="宋体" w:hAnsi="宋体"/>
              </w:rPr>
            </w:pPr>
            <w:r>
              <w:rPr>
                <w:rFonts w:ascii="宋体" w:hAnsi="宋体" w:hint="eastAsia"/>
              </w:rPr>
              <w:t>2.在上述第1项中评审有效的人员中（本项最高得40%）：</w:t>
            </w:r>
          </w:p>
          <w:p>
            <w:pPr>
              <w:snapToGrid w:val="0"/>
              <w:spacing w:line="360" w:lineRule="auto"/>
              <w:rPr>
                <w:rFonts w:ascii="宋体" w:hAnsi="宋体"/>
              </w:rPr>
            </w:pPr>
            <w:r>
              <w:rPr>
                <w:rFonts w:ascii="Calibri" w:hAnsi="Calibri" w:cs="Calibri"/>
              </w:rPr>
              <w:t>①</w:t>
            </w:r>
            <w:r>
              <w:rPr>
                <w:rFonts w:ascii="宋体" w:hAnsi="宋体" w:hint="eastAsia"/>
              </w:rPr>
              <w:t>执业年限≥5年的，每提供一人得20%；</w:t>
            </w:r>
          </w:p>
          <w:p>
            <w:pPr>
              <w:snapToGrid w:val="0"/>
              <w:spacing w:line="360" w:lineRule="auto"/>
              <w:rPr>
                <w:rFonts w:ascii="Times New Roman" w:hAnsi="Times New Roman"/>
              </w:rPr>
            </w:pPr>
            <w:r>
              <w:rPr>
                <w:rFonts w:ascii="Calibri" w:hAnsi="Calibri" w:cs="Calibri"/>
              </w:rPr>
              <w:t>②</w:t>
            </w:r>
            <w:r>
              <w:rPr>
                <w:rFonts w:ascii="宋体" w:hAnsi="宋体" w:hint="eastAsia"/>
              </w:rPr>
              <w:t>1年≤执业年限＜5年的，每提供一人得10%，最高得20%；</w:t>
            </w:r>
          </w:p>
          <w:p>
            <w:pPr>
              <w:snapToGrid w:val="0"/>
              <w:spacing w:line="360" w:lineRule="auto"/>
              <w:rPr>
                <w:rFonts w:ascii="宋体" w:hAnsi="宋体"/>
              </w:rPr>
            </w:pPr>
            <w:r>
              <w:rPr>
                <w:rFonts w:ascii="宋体" w:hAnsi="宋体" w:hint="eastAsia"/>
              </w:rPr>
              <w:t>3. 2018年1月1日以后（以合同签订时间为准），承担过国家机关或事业单位的房屋征收（或土地整备）法律服务项目经验，每提供一人得10%，本项最高得30%。</w:t>
            </w:r>
          </w:p>
          <w:p>
            <w:pPr>
              <w:snapToGrid w:val="0"/>
              <w:spacing w:line="360" w:lineRule="auto"/>
              <w:rPr>
                <w:rFonts w:ascii="宋体" w:hAnsi="宋体"/>
              </w:rPr>
            </w:pPr>
            <w:r>
              <w:rPr>
                <w:rFonts w:ascii="宋体" w:hAnsi="宋体" w:hint="eastAsia"/>
              </w:rPr>
              <w:t>以上合计最高得100%。同一人如同时满足1-3项多项条件的，可累计得分。</w:t>
            </w:r>
          </w:p>
          <w:p>
            <w:pPr>
              <w:snapToGrid w:val="0"/>
              <w:spacing w:line="360" w:lineRule="auto"/>
              <w:rPr>
                <w:rFonts w:ascii="宋体" w:hAnsi="宋体"/>
                <w:b/>
                <w:color w:val="0000FF"/>
              </w:rPr>
            </w:pPr>
            <w:r>
              <w:rPr>
                <w:rFonts w:ascii="宋体" w:hAnsi="宋体" w:hint="eastAsia"/>
                <w:b/>
                <w:color w:val="0000FF"/>
              </w:rPr>
              <w:t>证明材料：</w:t>
            </w:r>
          </w:p>
          <w:p>
            <w:pPr>
              <w:snapToGrid w:val="0"/>
              <w:spacing w:line="360" w:lineRule="auto"/>
              <w:rPr>
                <w:rFonts w:ascii="宋体" w:hAnsi="宋体"/>
                <w:color w:val="0000FF"/>
              </w:rPr>
            </w:pPr>
            <w:r>
              <w:rPr>
                <w:rFonts w:ascii="宋体" w:hAnsi="宋体" w:hint="eastAsia"/>
                <w:color w:val="0000FF"/>
              </w:rPr>
              <w:t>1、第1项需提供相关证书扫描件；</w:t>
            </w:r>
          </w:p>
          <w:p>
            <w:pPr>
              <w:snapToGrid w:val="0"/>
              <w:spacing w:line="360" w:lineRule="auto"/>
              <w:rPr>
                <w:rFonts w:ascii="宋体" w:hAnsi="宋体"/>
                <w:color w:val="0000FF"/>
              </w:rPr>
            </w:pPr>
            <w:r>
              <w:rPr>
                <w:rFonts w:ascii="宋体" w:hAnsi="宋体" w:hint="eastAsia"/>
                <w:color w:val="0000FF"/>
              </w:rPr>
              <w:t>2、第2项在上述第1项提供材料的基础上，需体现律师执业年限，律师执业年限以执业证发证时间计算（以6个月为标准四舍五入，即还差不到6个月满整年的，按整年计算；还差6个月（含）以上满整年的，按上一年计算）。</w:t>
            </w:r>
          </w:p>
          <w:p>
            <w:pPr>
              <w:snapToGrid w:val="0"/>
              <w:spacing w:line="360" w:lineRule="auto"/>
              <w:rPr>
                <w:rFonts w:ascii="宋体" w:hAnsi="宋体"/>
                <w:color w:val="0000FF"/>
              </w:rPr>
            </w:pPr>
            <w:r>
              <w:rPr>
                <w:rFonts w:ascii="宋体" w:hAnsi="宋体" w:hint="eastAsia"/>
                <w:color w:val="0000FF"/>
              </w:rPr>
              <w:t>关于律师执业年限执业证明材料，如律师执业证发证日期年限满足评分要求则提供律师执业证即可；如律师执业证因换新证原因发证日期变动则须同时提供由市级或以上司法行政机关或律协出具的相关年限证明文件。</w:t>
            </w:r>
          </w:p>
          <w:p>
            <w:pPr>
              <w:snapToGrid w:val="0"/>
              <w:spacing w:line="360" w:lineRule="auto"/>
              <w:rPr>
                <w:rFonts w:ascii="宋体" w:hAnsi="宋体"/>
                <w:color w:val="0000FF"/>
              </w:rPr>
            </w:pPr>
            <w:r>
              <w:rPr>
                <w:rFonts w:ascii="宋体" w:hAnsi="宋体" w:hint="eastAsia"/>
                <w:color w:val="0000FF"/>
              </w:rPr>
              <w:t>3、第3项提供合同关键页扫描件（须体现该人员为项目参与人，如无法体现，须另附合同甲方（须为国家机关或事业单位）出具的加盖公章的证明材料（证明材料须体现该人员为项目参与人）；</w:t>
            </w:r>
          </w:p>
          <w:p>
            <w:pPr>
              <w:snapToGrid w:val="0"/>
              <w:spacing w:line="360" w:lineRule="auto"/>
              <w:rPr>
                <w:rFonts w:ascii="宋体" w:hAnsi="宋体"/>
                <w:color w:val="0000FF"/>
              </w:rPr>
            </w:pPr>
            <w:r>
              <w:rPr>
                <w:rFonts w:ascii="宋体" w:hAnsi="宋体" w:hint="eastAsia"/>
                <w:color w:val="0000FF"/>
              </w:rPr>
              <w:t>4、同时提供该人员开标日当月（或前一个月）在本单位缴纳且载有社保部门（或税务部门）公章（或业务章）的社保缴交证明材料（如开标日当月或前一个月的社保材料因社保部门（或税务部门）原因暂时无法取得，则可以往前顺延一个月）。</w:t>
            </w:r>
          </w:p>
          <w:p>
            <w:pPr>
              <w:adjustRightInd w:val="0"/>
              <w:spacing w:after="60" w:line="360" w:lineRule="auto"/>
              <w:jc w:val="left"/>
              <w:textAlignment w:val="baseline"/>
              <w:outlineLvl w:val="1"/>
              <w:rPr>
                <w:rFonts w:ascii="宋体" w:eastAsia="宋体" w:hAnsi="宋体"/>
                <w:szCs w:val="21"/>
              </w:rPr>
            </w:pPr>
            <w:r>
              <w:rPr>
                <w:rFonts w:ascii="宋体" w:hAnsi="宋体" w:hint="eastAsia"/>
                <w:color w:val="0000FF"/>
              </w:rPr>
              <w:t>5、未按要求提供相关证明材料（或相关证明材料无法判断是否符合评分要求）的不计得分，原件备查。</w:t>
            </w:r>
          </w:p>
        </w:tc>
      </w:tr>
      <w:tr>
        <w:tblPrEx>
          <w:tblW w:w="9779" w:type="dxa"/>
          <w:jc w:val="center"/>
          <w:tblLayout w:type="fixed"/>
          <w:tblCellMar>
            <w:top w:w="0" w:type="dxa"/>
            <w:left w:w="108" w:type="dxa"/>
            <w:bottom w:w="0" w:type="dxa"/>
            <w:right w:w="108" w:type="dxa"/>
          </w:tblCellMar>
        </w:tblPrEx>
        <w:trPr>
          <w:trHeight w:val="260"/>
          <w:jc w:val="center"/>
        </w:trPr>
        <w:tc>
          <w:tcPr>
            <w:tcW w:w="692" w:type="dxa"/>
            <w:vMerge w:val="restart"/>
            <w:tcBorders>
              <w:top w:val="nil"/>
              <w:left w:val="single" w:sz="4" w:space="0" w:color="auto"/>
              <w:bottom w:val="single" w:sz="4" w:space="0" w:color="auto"/>
              <w:right w:val="single" w:sz="4" w:space="0" w:color="auto"/>
            </w:tcBorders>
            <w:vAlign w:val="center"/>
          </w:tcPr>
          <w:p>
            <w:pPr>
              <w:spacing w:after="60"/>
              <w:jc w:val="center"/>
              <w:outlineLvl w:val="2"/>
              <w:rPr>
                <w:rFonts w:ascii="宋体" w:eastAsia="宋体" w:hAnsi="宋体"/>
                <w:b/>
                <w:szCs w:val="21"/>
              </w:rPr>
            </w:pPr>
            <w:r>
              <w:rPr>
                <w:rFonts w:ascii="宋体" w:hAnsi="宋体" w:hint="eastAsia"/>
                <w:b/>
              </w:rPr>
              <w:t>3</w:t>
            </w:r>
          </w:p>
        </w:tc>
        <w:tc>
          <w:tcPr>
            <w:tcW w:w="2870" w:type="dxa"/>
            <w:gridSpan w:val="3"/>
            <w:tcBorders>
              <w:top w:val="single" w:sz="4" w:space="0" w:color="auto"/>
              <w:left w:val="single" w:sz="4" w:space="0" w:color="auto"/>
              <w:bottom w:val="single" w:sz="4" w:space="0" w:color="auto"/>
              <w:right w:val="single" w:sz="4" w:space="0" w:color="auto"/>
            </w:tcBorders>
            <w:vAlign w:val="center"/>
          </w:tcPr>
          <w:p>
            <w:pPr>
              <w:spacing w:after="60" w:line="360" w:lineRule="auto"/>
              <w:jc w:val="center"/>
              <w:rPr>
                <w:rFonts w:ascii="宋体" w:eastAsia="宋体" w:hAnsi="宋体"/>
                <w:b/>
                <w:szCs w:val="21"/>
              </w:rPr>
            </w:pPr>
            <w:r>
              <w:rPr>
                <w:rFonts w:ascii="宋体" w:hAnsi="宋体" w:hint="eastAsia"/>
                <w:b/>
              </w:rPr>
              <w:t>商务部分</w:t>
            </w:r>
          </w:p>
        </w:tc>
        <w:tc>
          <w:tcPr>
            <w:tcW w:w="6217" w:type="dxa"/>
            <w:tcBorders>
              <w:top w:val="single" w:sz="4" w:space="0" w:color="auto"/>
              <w:left w:val="single" w:sz="4" w:space="0" w:color="auto"/>
              <w:bottom w:val="single" w:sz="4" w:space="0" w:color="auto"/>
              <w:right w:val="single" w:sz="4" w:space="0" w:color="auto"/>
            </w:tcBorders>
            <w:vAlign w:val="center"/>
          </w:tcPr>
          <w:p>
            <w:pPr>
              <w:spacing w:after="60" w:line="360" w:lineRule="auto"/>
              <w:jc w:val="center"/>
              <w:rPr>
                <w:rFonts w:ascii="宋体" w:eastAsia="宋体" w:hAnsi="宋体"/>
                <w:b/>
                <w:szCs w:val="21"/>
              </w:rPr>
            </w:pPr>
            <w:r>
              <w:rPr>
                <w:rFonts w:ascii="宋体" w:hAnsi="宋体" w:hint="eastAsia"/>
                <w:b/>
              </w:rPr>
              <w:t>35</w:t>
            </w:r>
          </w:p>
        </w:tc>
      </w:tr>
      <w:tr>
        <w:tblPrEx>
          <w:tblW w:w="9779" w:type="dxa"/>
          <w:jc w:val="center"/>
          <w:tblLayout w:type="fixed"/>
          <w:tblCellMar>
            <w:top w:w="0" w:type="dxa"/>
            <w:left w:w="108" w:type="dxa"/>
            <w:bottom w:w="0" w:type="dxa"/>
            <w:right w:w="108" w:type="dxa"/>
          </w:tblCellMar>
        </w:tblPrEx>
        <w:trPr>
          <w:trHeight w:val="768"/>
          <w:jc w:val="center"/>
        </w:trPr>
        <w:tc>
          <w:tcPr>
            <w:tcW w:w="692"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b/>
                <w:szCs w:val="21"/>
              </w:rPr>
            </w:pPr>
          </w:p>
        </w:tc>
        <w:tc>
          <w:tcPr>
            <w:tcW w:w="727" w:type="dxa"/>
            <w:tcBorders>
              <w:top w:val="single" w:sz="4" w:space="0" w:color="auto"/>
              <w:left w:val="single" w:sz="4" w:space="0" w:color="auto"/>
              <w:bottom w:val="single" w:sz="4" w:space="0" w:color="auto"/>
              <w:right w:val="single" w:sz="4" w:space="0" w:color="auto"/>
            </w:tcBorders>
            <w:vAlign w:val="center"/>
          </w:tcPr>
          <w:p>
            <w:pPr>
              <w:spacing w:after="60"/>
              <w:jc w:val="center"/>
              <w:rPr>
                <w:rFonts w:ascii="宋体" w:eastAsia="宋体" w:hAnsi="宋体"/>
                <w:b/>
                <w:szCs w:val="21"/>
              </w:rPr>
            </w:pPr>
            <w:r>
              <w:rPr>
                <w:rFonts w:ascii="宋体" w:hAnsi="宋体" w:hint="eastAsia"/>
                <w:b/>
              </w:rPr>
              <w:t>序号</w:t>
            </w:r>
          </w:p>
        </w:tc>
        <w:tc>
          <w:tcPr>
            <w:tcW w:w="1698" w:type="dxa"/>
            <w:tcBorders>
              <w:top w:val="single" w:sz="4" w:space="0" w:color="auto"/>
              <w:left w:val="single" w:sz="4" w:space="0" w:color="auto"/>
              <w:bottom w:val="single" w:sz="4" w:space="0" w:color="auto"/>
              <w:right w:val="single" w:sz="4" w:space="0" w:color="auto"/>
            </w:tcBorders>
            <w:vAlign w:val="center"/>
          </w:tcPr>
          <w:p>
            <w:pPr>
              <w:spacing w:after="60" w:line="360" w:lineRule="auto"/>
              <w:jc w:val="center"/>
              <w:rPr>
                <w:rFonts w:ascii="宋体" w:eastAsia="宋体" w:hAnsi="宋体"/>
                <w:b/>
                <w:szCs w:val="21"/>
              </w:rPr>
            </w:pPr>
            <w:r>
              <w:rPr>
                <w:rFonts w:ascii="宋体" w:hAnsi="宋体" w:hint="eastAsia"/>
                <w:b/>
              </w:rPr>
              <w:t>评分因素</w:t>
            </w:r>
          </w:p>
        </w:tc>
        <w:tc>
          <w:tcPr>
            <w:tcW w:w="445" w:type="dxa"/>
            <w:tcBorders>
              <w:top w:val="single" w:sz="4" w:space="0" w:color="auto"/>
              <w:left w:val="single" w:sz="4" w:space="0" w:color="auto"/>
              <w:bottom w:val="single" w:sz="4" w:space="0" w:color="auto"/>
              <w:right w:val="single" w:sz="4" w:space="0" w:color="auto"/>
            </w:tcBorders>
            <w:vAlign w:val="center"/>
          </w:tcPr>
          <w:p>
            <w:pPr>
              <w:spacing w:after="60" w:line="360" w:lineRule="auto"/>
              <w:jc w:val="center"/>
              <w:rPr>
                <w:rFonts w:ascii="宋体" w:eastAsia="宋体" w:hAnsi="宋体"/>
                <w:b/>
                <w:szCs w:val="21"/>
              </w:rPr>
            </w:pPr>
            <w:r>
              <w:rPr>
                <w:rFonts w:ascii="宋体" w:hAnsi="宋体" w:hint="eastAsia"/>
                <w:b/>
              </w:rPr>
              <w:t>权重</w:t>
            </w:r>
          </w:p>
        </w:tc>
        <w:tc>
          <w:tcPr>
            <w:tcW w:w="6217" w:type="dxa"/>
            <w:tcBorders>
              <w:top w:val="single" w:sz="4" w:space="0" w:color="auto"/>
              <w:left w:val="single" w:sz="4" w:space="0" w:color="auto"/>
              <w:bottom w:val="single" w:sz="4" w:space="0" w:color="auto"/>
              <w:right w:val="single" w:sz="4" w:space="0" w:color="auto"/>
            </w:tcBorders>
            <w:vAlign w:val="center"/>
          </w:tcPr>
          <w:p>
            <w:pPr>
              <w:spacing w:after="60" w:line="360" w:lineRule="auto"/>
              <w:jc w:val="center"/>
              <w:rPr>
                <w:rFonts w:ascii="宋体" w:eastAsia="宋体" w:hAnsi="宋体"/>
                <w:b/>
                <w:szCs w:val="21"/>
              </w:rPr>
            </w:pPr>
            <w:r>
              <w:rPr>
                <w:rFonts w:ascii="宋体" w:hAnsi="宋体" w:hint="eastAsia"/>
                <w:b/>
              </w:rPr>
              <w:t>评分准则</w:t>
            </w:r>
          </w:p>
        </w:tc>
      </w:tr>
      <w:tr>
        <w:tblPrEx>
          <w:tblW w:w="9779" w:type="dxa"/>
          <w:jc w:val="center"/>
          <w:tblLayout w:type="fixed"/>
          <w:tblCellMar>
            <w:top w:w="0" w:type="dxa"/>
            <w:left w:w="108" w:type="dxa"/>
            <w:bottom w:w="0" w:type="dxa"/>
            <w:right w:w="108" w:type="dxa"/>
          </w:tblCellMar>
        </w:tblPrEx>
        <w:trPr>
          <w:jc w:val="center"/>
        </w:trPr>
        <w:tc>
          <w:tcPr>
            <w:tcW w:w="692"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b/>
                <w:szCs w:val="21"/>
              </w:rPr>
            </w:pPr>
          </w:p>
        </w:tc>
        <w:tc>
          <w:tcPr>
            <w:tcW w:w="727" w:type="dxa"/>
            <w:tcBorders>
              <w:top w:val="single" w:sz="4" w:space="0" w:color="auto"/>
              <w:left w:val="single" w:sz="4" w:space="0" w:color="auto"/>
              <w:bottom w:val="single" w:sz="4" w:space="0" w:color="auto"/>
              <w:right w:val="single" w:sz="4" w:space="0" w:color="auto"/>
            </w:tcBorders>
            <w:vAlign w:val="center"/>
          </w:tcPr>
          <w:p>
            <w:pPr>
              <w:spacing w:after="60"/>
              <w:jc w:val="center"/>
              <w:rPr>
                <w:rFonts w:ascii="宋体" w:eastAsia="宋体" w:hAnsi="宋体"/>
                <w:sz w:val="24"/>
                <w:szCs w:val="24"/>
              </w:rPr>
            </w:pPr>
            <w:r>
              <w:rPr>
                <w:rFonts w:ascii="宋体" w:hAnsi="宋体" w:hint="eastAsia"/>
                <w:sz w:val="24"/>
                <w:szCs w:val="24"/>
              </w:rPr>
              <w:t>1</w:t>
            </w:r>
          </w:p>
        </w:tc>
        <w:tc>
          <w:tcPr>
            <w:tcW w:w="1698" w:type="dxa"/>
            <w:tcBorders>
              <w:top w:val="single" w:sz="4" w:space="0" w:color="auto"/>
              <w:left w:val="single" w:sz="4" w:space="0" w:color="auto"/>
              <w:bottom w:val="single" w:sz="4" w:space="0" w:color="auto"/>
              <w:right w:val="single" w:sz="4" w:space="0" w:color="auto"/>
            </w:tcBorders>
            <w:vAlign w:val="center"/>
          </w:tcPr>
          <w:p>
            <w:pPr>
              <w:snapToGrid w:val="0"/>
              <w:spacing w:after="60" w:line="360" w:lineRule="auto"/>
              <w:jc w:val="center"/>
              <w:rPr>
                <w:rFonts w:ascii="宋体" w:eastAsia="宋体" w:hAnsi="宋体"/>
                <w:szCs w:val="21"/>
              </w:rPr>
            </w:pPr>
            <w:r>
              <w:rPr>
                <w:rFonts w:ascii="宋体" w:hAnsi="宋体" w:hint="eastAsia"/>
              </w:rPr>
              <w:t>投标人获得荣誉情况</w:t>
            </w:r>
          </w:p>
        </w:tc>
        <w:tc>
          <w:tcPr>
            <w:tcW w:w="445" w:type="dxa"/>
            <w:tcBorders>
              <w:top w:val="single" w:sz="4" w:space="0" w:color="auto"/>
              <w:left w:val="single" w:sz="4" w:space="0" w:color="auto"/>
              <w:bottom w:val="single" w:sz="4" w:space="0" w:color="auto"/>
              <w:right w:val="single" w:sz="4" w:space="0" w:color="auto"/>
            </w:tcBorders>
            <w:vAlign w:val="center"/>
          </w:tcPr>
          <w:p>
            <w:pPr>
              <w:widowControl/>
              <w:snapToGrid w:val="0"/>
              <w:spacing w:after="60" w:line="360" w:lineRule="auto"/>
              <w:jc w:val="center"/>
              <w:rPr>
                <w:rFonts w:ascii="宋体" w:eastAsia="宋体" w:hAnsi="宋体"/>
                <w:szCs w:val="21"/>
              </w:rPr>
            </w:pPr>
            <w:r>
              <w:rPr>
                <w:rFonts w:ascii="宋体" w:hAnsi="宋体" w:hint="eastAsia"/>
              </w:rPr>
              <w:t>2</w:t>
            </w:r>
          </w:p>
        </w:tc>
        <w:tc>
          <w:tcPr>
            <w:tcW w:w="6217" w:type="dxa"/>
            <w:tcBorders>
              <w:top w:val="single" w:sz="4" w:space="0" w:color="auto"/>
              <w:left w:val="single" w:sz="4" w:space="0" w:color="auto"/>
              <w:bottom w:val="single" w:sz="4" w:space="0" w:color="auto"/>
              <w:right w:val="single" w:sz="4" w:space="0" w:color="auto"/>
            </w:tcBorders>
            <w:vAlign w:val="center"/>
          </w:tcPr>
          <w:p>
            <w:pPr>
              <w:snapToGrid w:val="0"/>
              <w:spacing w:line="360" w:lineRule="auto"/>
              <w:rPr>
                <w:rFonts w:ascii="宋体" w:hAnsi="宋体"/>
              </w:rPr>
            </w:pPr>
            <w:r>
              <w:rPr>
                <w:rFonts w:ascii="宋体" w:hAnsi="宋体" w:hint="eastAsia"/>
              </w:rPr>
              <w:t>投标人获得市级及以上司法部门或市级及以上律师协会颁发的表彰、荣誉，每提供一个得20%，最高得100%。</w:t>
            </w:r>
          </w:p>
          <w:p>
            <w:pPr>
              <w:snapToGrid w:val="0"/>
              <w:spacing w:line="360" w:lineRule="auto"/>
              <w:rPr>
                <w:rFonts w:ascii="宋体" w:hAnsi="宋体"/>
                <w:color w:val="0000FF"/>
              </w:rPr>
            </w:pPr>
            <w:r>
              <w:rPr>
                <w:rFonts w:ascii="宋体" w:hAnsi="宋体" w:hint="eastAsia"/>
                <w:b/>
                <w:color w:val="0000FF"/>
              </w:rPr>
              <w:t>证明材料：</w:t>
            </w:r>
          </w:p>
          <w:p>
            <w:pPr>
              <w:snapToGrid w:val="0"/>
              <w:spacing w:line="360" w:lineRule="auto"/>
              <w:rPr>
                <w:rFonts w:ascii="宋体" w:eastAsia="宋体" w:hAnsi="宋体"/>
                <w:szCs w:val="21"/>
              </w:rPr>
            </w:pPr>
            <w:r>
              <w:rPr>
                <w:rFonts w:ascii="宋体" w:hAnsi="宋体" w:hint="eastAsia"/>
                <w:color w:val="0000FF"/>
              </w:rPr>
              <w:t>需提供相关证书或文件扫描件，未按要求提供相关证明材料（或相关证明材料无法判断是否符合评分要求）的不计得分，原件备查。</w:t>
            </w:r>
          </w:p>
        </w:tc>
      </w:tr>
      <w:tr>
        <w:tblPrEx>
          <w:tblW w:w="9779" w:type="dxa"/>
          <w:jc w:val="center"/>
          <w:tblLayout w:type="fixed"/>
          <w:tblCellMar>
            <w:top w:w="0" w:type="dxa"/>
            <w:left w:w="108" w:type="dxa"/>
            <w:bottom w:w="0" w:type="dxa"/>
            <w:right w:w="108" w:type="dxa"/>
          </w:tblCellMar>
        </w:tblPrEx>
        <w:trPr>
          <w:jc w:val="center"/>
        </w:trPr>
        <w:tc>
          <w:tcPr>
            <w:tcW w:w="692"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b/>
                <w:szCs w:val="21"/>
              </w:rPr>
            </w:pPr>
          </w:p>
        </w:tc>
        <w:tc>
          <w:tcPr>
            <w:tcW w:w="727" w:type="dxa"/>
            <w:tcBorders>
              <w:top w:val="single" w:sz="4" w:space="0" w:color="auto"/>
              <w:left w:val="single" w:sz="4" w:space="0" w:color="auto"/>
              <w:bottom w:val="single" w:sz="4" w:space="0" w:color="auto"/>
              <w:right w:val="single" w:sz="4" w:space="0" w:color="auto"/>
            </w:tcBorders>
            <w:vAlign w:val="center"/>
          </w:tcPr>
          <w:p>
            <w:pPr>
              <w:spacing w:after="60"/>
              <w:jc w:val="center"/>
              <w:rPr>
                <w:rFonts w:ascii="宋体" w:eastAsia="宋体" w:hAnsi="宋体"/>
                <w:szCs w:val="21"/>
              </w:rPr>
            </w:pPr>
            <w:r>
              <w:rPr>
                <w:rFonts w:ascii="宋体" w:hAnsi="宋体" w:hint="eastAsia"/>
              </w:rPr>
              <w:t>2</w:t>
            </w:r>
          </w:p>
        </w:tc>
        <w:tc>
          <w:tcPr>
            <w:tcW w:w="1698" w:type="dxa"/>
            <w:tcBorders>
              <w:top w:val="single" w:sz="4" w:space="0" w:color="auto"/>
              <w:left w:val="single" w:sz="4" w:space="0" w:color="auto"/>
              <w:bottom w:val="single" w:sz="4" w:space="0" w:color="auto"/>
              <w:right w:val="single" w:sz="4" w:space="0" w:color="auto"/>
            </w:tcBorders>
            <w:vAlign w:val="center"/>
          </w:tcPr>
          <w:p>
            <w:pPr>
              <w:snapToGrid w:val="0"/>
              <w:spacing w:after="60" w:line="360" w:lineRule="auto"/>
              <w:jc w:val="center"/>
              <w:rPr>
                <w:rFonts w:ascii="宋体" w:eastAsia="宋体" w:hAnsi="宋体"/>
                <w:szCs w:val="21"/>
              </w:rPr>
            </w:pPr>
            <w:r>
              <w:rPr>
                <w:rFonts w:ascii="宋体" w:hAnsi="宋体" w:hint="eastAsia"/>
              </w:rPr>
              <w:t>投标人经验情况评价1</w:t>
            </w:r>
          </w:p>
        </w:tc>
        <w:tc>
          <w:tcPr>
            <w:tcW w:w="445" w:type="dxa"/>
            <w:tcBorders>
              <w:top w:val="single" w:sz="4" w:space="0" w:color="auto"/>
              <w:left w:val="single" w:sz="4" w:space="0" w:color="auto"/>
              <w:bottom w:val="single" w:sz="4" w:space="0" w:color="auto"/>
              <w:right w:val="single" w:sz="4" w:space="0" w:color="auto"/>
            </w:tcBorders>
            <w:vAlign w:val="center"/>
          </w:tcPr>
          <w:p>
            <w:pPr>
              <w:snapToGrid w:val="0"/>
              <w:spacing w:after="60" w:line="360" w:lineRule="auto"/>
              <w:jc w:val="center"/>
              <w:rPr>
                <w:rFonts w:ascii="宋体" w:eastAsia="宋体" w:hAnsi="宋体"/>
                <w:szCs w:val="21"/>
              </w:rPr>
            </w:pPr>
            <w:r>
              <w:rPr>
                <w:rFonts w:ascii="宋体" w:hAnsi="宋体" w:hint="eastAsia"/>
              </w:rPr>
              <w:t>14</w:t>
            </w:r>
          </w:p>
        </w:tc>
        <w:tc>
          <w:tcPr>
            <w:tcW w:w="6217" w:type="dxa"/>
            <w:tcBorders>
              <w:top w:val="single" w:sz="4" w:space="0" w:color="auto"/>
              <w:left w:val="single" w:sz="4" w:space="0" w:color="auto"/>
              <w:bottom w:val="single" w:sz="4" w:space="0" w:color="auto"/>
              <w:right w:val="single" w:sz="4" w:space="0" w:color="auto"/>
            </w:tcBorders>
            <w:vAlign w:val="center"/>
          </w:tcPr>
          <w:p>
            <w:pPr>
              <w:widowControl/>
              <w:snapToGrid w:val="0"/>
              <w:spacing w:line="360" w:lineRule="auto"/>
              <w:rPr>
                <w:rFonts w:ascii="宋体" w:hAnsi="宋体"/>
              </w:rPr>
            </w:pPr>
            <w:r>
              <w:rPr>
                <w:rFonts w:ascii="宋体" w:hAnsi="宋体" w:hint="eastAsia"/>
              </w:rPr>
              <w:t>2018年1月1日以后（以合同签订时间为准）：</w:t>
            </w:r>
          </w:p>
          <w:p>
            <w:pPr>
              <w:pStyle w:val="ListParagraph"/>
              <w:snapToGrid w:val="0"/>
              <w:spacing w:line="360" w:lineRule="auto"/>
              <w:ind w:firstLine="0" w:firstLineChars="0"/>
              <w:rPr>
                <w:rFonts w:ascii="宋体" w:hAnsi="宋体"/>
              </w:rPr>
            </w:pPr>
            <w:r>
              <w:rPr>
                <w:rFonts w:ascii="宋体" w:hAnsi="宋体" w:hint="eastAsia"/>
              </w:rPr>
              <w:t xml:space="preserve">投标人承接过国家机关机关或事业单位的房屋征收（或土地整备）专项法律服务项目： </w:t>
            </w:r>
          </w:p>
          <w:p>
            <w:pPr>
              <w:pStyle w:val="msolistparagraph"/>
              <w:widowControl/>
              <w:snapToGrid w:val="0"/>
              <w:spacing w:line="360" w:lineRule="auto"/>
              <w:ind w:firstLine="0" w:firstLineChars="0"/>
              <w:rPr>
                <w:rFonts w:ascii="宋体" w:hAnsi="宋体"/>
              </w:rPr>
            </w:pPr>
            <w:r>
              <w:rPr>
                <w:rFonts w:ascii="宋体" w:hAnsi="宋体" w:hint="eastAsia"/>
              </w:rPr>
              <w:t>1.单个项目建筑面积≥10万㎡的，每提供1个得20%；</w:t>
            </w:r>
          </w:p>
          <w:p>
            <w:pPr>
              <w:pStyle w:val="msolistparagraph"/>
              <w:widowControl/>
              <w:snapToGrid w:val="0"/>
              <w:spacing w:line="360" w:lineRule="auto"/>
              <w:ind w:firstLine="0" w:firstLineChars="0"/>
              <w:rPr>
                <w:rFonts w:ascii="宋体" w:hAnsi="宋体"/>
              </w:rPr>
            </w:pPr>
            <w:r>
              <w:rPr>
                <w:rFonts w:ascii="宋体" w:hAnsi="宋体" w:hint="eastAsia"/>
              </w:rPr>
              <w:t>2.5万㎡≤单个项目建筑面积＜10万㎡的，每提供1个得10%；</w:t>
            </w:r>
          </w:p>
          <w:p>
            <w:pPr>
              <w:pStyle w:val="msolistparagraph"/>
              <w:widowControl/>
              <w:snapToGrid w:val="0"/>
              <w:spacing w:line="360" w:lineRule="auto"/>
              <w:ind w:firstLine="0" w:firstLineChars="0"/>
              <w:rPr>
                <w:rFonts w:ascii="宋体" w:hAnsi="宋体"/>
              </w:rPr>
            </w:pPr>
            <w:r>
              <w:rPr>
                <w:rFonts w:ascii="宋体" w:hAnsi="宋体" w:hint="eastAsia"/>
              </w:rPr>
              <w:t>3.1万㎡≤单个项目建筑面积＜5万㎡的，每提供1个得5%；</w:t>
            </w:r>
          </w:p>
          <w:p>
            <w:pPr>
              <w:pStyle w:val="msolistparagraph"/>
              <w:widowControl/>
              <w:snapToGrid w:val="0"/>
              <w:spacing w:line="360" w:lineRule="auto"/>
              <w:ind w:firstLine="0" w:firstLineChars="0"/>
              <w:rPr>
                <w:rFonts w:ascii="宋体" w:hAnsi="宋体"/>
              </w:rPr>
            </w:pPr>
            <w:r>
              <w:rPr>
                <w:rFonts w:ascii="宋体" w:hAnsi="宋体" w:hint="eastAsia"/>
              </w:rPr>
              <w:t>4. 单个项目建筑面积＜1万㎡的，每提供1个得2%；</w:t>
            </w:r>
          </w:p>
          <w:p>
            <w:pPr>
              <w:widowControl/>
              <w:snapToGrid w:val="0"/>
              <w:spacing w:line="360" w:lineRule="auto"/>
              <w:rPr>
                <w:rFonts w:ascii="宋体" w:hAnsi="宋体"/>
              </w:rPr>
            </w:pPr>
            <w:r>
              <w:rPr>
                <w:rFonts w:ascii="宋体" w:hAnsi="宋体" w:hint="eastAsia"/>
              </w:rPr>
              <w:t>以上最高得100%。</w:t>
            </w:r>
          </w:p>
          <w:p>
            <w:pPr>
              <w:snapToGrid w:val="0"/>
              <w:spacing w:line="360" w:lineRule="auto"/>
              <w:rPr>
                <w:rFonts w:ascii="宋体" w:hAnsi="宋体"/>
                <w:b/>
                <w:bCs/>
                <w:color w:val="0000FF"/>
              </w:rPr>
            </w:pPr>
            <w:r>
              <w:rPr>
                <w:rFonts w:ascii="宋体" w:hAnsi="宋体" w:hint="eastAsia"/>
                <w:b/>
                <w:bCs/>
                <w:color w:val="0000FF"/>
              </w:rPr>
              <w:t>证明材料：</w:t>
            </w:r>
          </w:p>
          <w:p>
            <w:pPr>
              <w:widowControl/>
              <w:snapToGrid w:val="0"/>
              <w:spacing w:after="60" w:line="360" w:lineRule="auto"/>
              <w:rPr>
                <w:rFonts w:ascii="宋体" w:eastAsia="宋体" w:hAnsi="宋体"/>
                <w:szCs w:val="21"/>
              </w:rPr>
            </w:pPr>
            <w:r>
              <w:rPr>
                <w:rFonts w:ascii="宋体" w:hAnsi="宋体" w:hint="eastAsia"/>
                <w:color w:val="0000FF"/>
              </w:rPr>
              <w:t>提供合同关键页（合同甲方须为国家机关或事业单位，且提供的材料须能清晰反映上述评分信息内容）如无法体现，须另附合同甲方（须为国家机关或事业单位）出具的加盖公章的证明材料（证明材料须体现具体面积），未按要求提供相关证明材料（或相关证明材料无法判断是否符合评分要求）的不计得分，原件备查。</w:t>
            </w:r>
          </w:p>
        </w:tc>
      </w:tr>
      <w:tr>
        <w:tblPrEx>
          <w:tblW w:w="9779" w:type="dxa"/>
          <w:jc w:val="center"/>
          <w:tblLayout w:type="fixed"/>
          <w:tblCellMar>
            <w:top w:w="0" w:type="dxa"/>
            <w:left w:w="108" w:type="dxa"/>
            <w:bottom w:w="0" w:type="dxa"/>
            <w:right w:w="108" w:type="dxa"/>
          </w:tblCellMar>
        </w:tblPrEx>
        <w:trPr>
          <w:jc w:val="center"/>
        </w:trPr>
        <w:tc>
          <w:tcPr>
            <w:tcW w:w="692"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b/>
                <w:szCs w:val="21"/>
              </w:rPr>
            </w:pPr>
          </w:p>
        </w:tc>
        <w:tc>
          <w:tcPr>
            <w:tcW w:w="727" w:type="dxa"/>
            <w:tcBorders>
              <w:top w:val="single" w:sz="4" w:space="0" w:color="auto"/>
              <w:left w:val="single" w:sz="4" w:space="0" w:color="auto"/>
              <w:bottom w:val="single" w:sz="4" w:space="0" w:color="auto"/>
              <w:right w:val="single" w:sz="4" w:space="0" w:color="auto"/>
            </w:tcBorders>
            <w:vAlign w:val="center"/>
          </w:tcPr>
          <w:p>
            <w:pPr>
              <w:spacing w:after="60"/>
              <w:jc w:val="center"/>
              <w:rPr>
                <w:rFonts w:ascii="宋体" w:eastAsia="宋体" w:hAnsi="宋体"/>
                <w:szCs w:val="21"/>
              </w:rPr>
            </w:pPr>
            <w:r>
              <w:rPr>
                <w:rFonts w:ascii="宋体" w:hAnsi="宋体" w:hint="eastAsia"/>
              </w:rPr>
              <w:t>3</w:t>
            </w:r>
          </w:p>
        </w:tc>
        <w:tc>
          <w:tcPr>
            <w:tcW w:w="1698" w:type="dxa"/>
            <w:tcBorders>
              <w:top w:val="single" w:sz="4" w:space="0" w:color="auto"/>
              <w:left w:val="single" w:sz="4" w:space="0" w:color="auto"/>
              <w:bottom w:val="single" w:sz="4" w:space="0" w:color="auto"/>
              <w:right w:val="single" w:sz="4" w:space="0" w:color="auto"/>
            </w:tcBorders>
            <w:vAlign w:val="center"/>
          </w:tcPr>
          <w:p>
            <w:pPr>
              <w:snapToGrid w:val="0"/>
              <w:spacing w:after="60" w:line="360" w:lineRule="auto"/>
              <w:jc w:val="center"/>
              <w:rPr>
                <w:rFonts w:ascii="宋体" w:eastAsia="宋体" w:hAnsi="宋体"/>
                <w:szCs w:val="21"/>
              </w:rPr>
            </w:pPr>
            <w:r>
              <w:rPr>
                <w:rFonts w:ascii="宋体" w:hAnsi="宋体" w:hint="eastAsia"/>
              </w:rPr>
              <w:t>投标人经验情况评价2</w:t>
            </w:r>
          </w:p>
        </w:tc>
        <w:tc>
          <w:tcPr>
            <w:tcW w:w="445" w:type="dxa"/>
            <w:tcBorders>
              <w:top w:val="single" w:sz="4" w:space="0" w:color="auto"/>
              <w:left w:val="single" w:sz="4" w:space="0" w:color="auto"/>
              <w:bottom w:val="single" w:sz="4" w:space="0" w:color="auto"/>
              <w:right w:val="single" w:sz="4" w:space="0" w:color="auto"/>
            </w:tcBorders>
            <w:vAlign w:val="center"/>
          </w:tcPr>
          <w:p>
            <w:pPr>
              <w:snapToGrid w:val="0"/>
              <w:spacing w:after="60" w:line="360" w:lineRule="auto"/>
              <w:jc w:val="center"/>
              <w:rPr>
                <w:rFonts w:ascii="宋体" w:eastAsia="宋体" w:hAnsi="宋体"/>
                <w:szCs w:val="21"/>
              </w:rPr>
            </w:pPr>
            <w:r>
              <w:rPr>
                <w:rFonts w:ascii="宋体" w:hAnsi="宋体" w:hint="eastAsia"/>
              </w:rPr>
              <w:t>14</w:t>
            </w:r>
          </w:p>
        </w:tc>
        <w:tc>
          <w:tcPr>
            <w:tcW w:w="6217" w:type="dxa"/>
            <w:tcBorders>
              <w:top w:val="single" w:sz="4" w:space="0" w:color="auto"/>
              <w:left w:val="single" w:sz="4" w:space="0" w:color="auto"/>
              <w:bottom w:val="single" w:sz="4" w:space="0" w:color="auto"/>
              <w:right w:val="single" w:sz="4" w:space="0" w:color="auto"/>
            </w:tcBorders>
            <w:vAlign w:val="center"/>
          </w:tcPr>
          <w:p>
            <w:pPr>
              <w:pStyle w:val="NormalWeb"/>
              <w:snapToGrid w:val="0"/>
              <w:spacing w:before="0" w:beforeAutospacing="0" w:afterAutospacing="0" w:line="360" w:lineRule="auto"/>
              <w:jc w:val="both"/>
            </w:pPr>
            <w:r>
              <w:rPr>
                <w:rStyle w:val="15"/>
              </w:rPr>
              <w:t>1.</w:t>
            </w:r>
            <w:r>
              <w:rPr>
                <w:rFonts w:hint="eastAsia"/>
                <w:sz w:val="21"/>
                <w:szCs w:val="21"/>
              </w:rPr>
              <w:t>投标人担任过国家机关或事业单位常年法律顾问单位的：           ①担任年限≥5年的，得50%；</w:t>
            </w:r>
          </w:p>
          <w:p>
            <w:pPr>
              <w:pStyle w:val="NormalWeb"/>
              <w:snapToGrid w:val="0"/>
              <w:spacing w:before="0" w:beforeAutospacing="0" w:afterAutospacing="0" w:line="360" w:lineRule="auto"/>
              <w:jc w:val="both"/>
            </w:pPr>
            <w:r>
              <w:rPr>
                <w:rFonts w:hint="eastAsia"/>
                <w:sz w:val="21"/>
                <w:szCs w:val="21"/>
              </w:rPr>
              <w:t>②3年≤担任年限＜5年的，得20%；</w:t>
            </w:r>
          </w:p>
          <w:p>
            <w:pPr>
              <w:pStyle w:val="NormalWeb"/>
              <w:snapToGrid w:val="0"/>
              <w:spacing w:before="0" w:beforeAutospacing="0" w:afterAutospacing="0" w:line="360" w:lineRule="auto"/>
              <w:jc w:val="both"/>
            </w:pPr>
            <w:r>
              <w:rPr>
                <w:rFonts w:hint="eastAsia"/>
                <w:sz w:val="21"/>
                <w:szCs w:val="21"/>
              </w:rPr>
              <w:t>③担任年限＜3年的，得5%；</w:t>
            </w:r>
          </w:p>
          <w:p>
            <w:pPr>
              <w:pStyle w:val="NormalWeb"/>
              <w:snapToGrid w:val="0"/>
              <w:spacing w:before="0" w:beforeAutospacing="0" w:afterAutospacing="0" w:line="360" w:lineRule="auto"/>
              <w:jc w:val="both"/>
            </w:pPr>
            <w:r>
              <w:rPr>
                <w:rFonts w:hint="eastAsia"/>
                <w:sz w:val="21"/>
                <w:szCs w:val="21"/>
              </w:rPr>
              <w:t>此项最高得50%，未担任过法律顾问单位的不得分。</w:t>
            </w:r>
          </w:p>
          <w:p>
            <w:pPr>
              <w:pStyle w:val="NormalWeb"/>
              <w:snapToGrid w:val="0"/>
              <w:spacing w:before="0" w:beforeAutospacing="0" w:afterAutospacing="0" w:line="360" w:lineRule="auto"/>
              <w:jc w:val="both"/>
            </w:pPr>
            <w:r>
              <w:rPr>
                <w:rFonts w:hint="eastAsia"/>
                <w:sz w:val="21"/>
                <w:szCs w:val="21"/>
              </w:rPr>
              <w:t>2.投标人具有代理过国家机关或事业单位作为委托方的行政诉讼、行政复议案件经验：</w:t>
            </w:r>
          </w:p>
          <w:p>
            <w:pPr>
              <w:pStyle w:val="NormalWeb"/>
              <w:snapToGrid w:val="0"/>
              <w:spacing w:before="0" w:beforeAutospacing="0" w:afterAutospacing="0" w:line="360" w:lineRule="auto"/>
              <w:jc w:val="both"/>
            </w:pPr>
            <w:r>
              <w:rPr>
                <w:rFonts w:hint="eastAsia"/>
                <w:sz w:val="21"/>
                <w:szCs w:val="21"/>
              </w:rPr>
              <w:t>①行政诉讼、行政复议案件≥10件的，得50%；</w:t>
            </w:r>
          </w:p>
          <w:p>
            <w:pPr>
              <w:pStyle w:val="NormalWeb"/>
              <w:snapToGrid w:val="0"/>
              <w:spacing w:before="0" w:beforeAutospacing="0" w:afterAutospacing="0" w:line="360" w:lineRule="auto"/>
              <w:jc w:val="both"/>
            </w:pPr>
            <w:r>
              <w:rPr>
                <w:rFonts w:hint="eastAsia"/>
                <w:sz w:val="21"/>
                <w:szCs w:val="21"/>
              </w:rPr>
              <w:t>②5件≤行政诉讼、行政复议案件＜10件的，得20%；</w:t>
            </w:r>
          </w:p>
          <w:p>
            <w:pPr>
              <w:pStyle w:val="NormalWeb"/>
              <w:snapToGrid w:val="0"/>
              <w:spacing w:before="0" w:beforeAutospacing="0" w:afterAutospacing="0" w:line="360" w:lineRule="auto"/>
              <w:jc w:val="both"/>
            </w:pPr>
            <w:r>
              <w:rPr>
                <w:rFonts w:hint="eastAsia"/>
                <w:sz w:val="21"/>
                <w:szCs w:val="21"/>
              </w:rPr>
              <w:t>③行政诉讼、行政复议案件＜5件的，得5%。</w:t>
            </w:r>
          </w:p>
          <w:p>
            <w:pPr>
              <w:pStyle w:val="NormalWeb"/>
              <w:snapToGrid w:val="0"/>
              <w:spacing w:before="0" w:beforeAutospacing="0" w:afterAutospacing="0" w:line="360" w:lineRule="auto"/>
              <w:jc w:val="both"/>
            </w:pPr>
            <w:r>
              <w:rPr>
                <w:rFonts w:hint="eastAsia"/>
                <w:sz w:val="21"/>
                <w:szCs w:val="21"/>
              </w:rPr>
              <w:t>此项最高得50%。</w:t>
            </w:r>
          </w:p>
          <w:p>
            <w:pPr>
              <w:snapToGrid w:val="0"/>
              <w:spacing w:line="360" w:lineRule="auto"/>
              <w:rPr>
                <w:rFonts w:ascii="宋体" w:hAnsi="宋体"/>
              </w:rPr>
            </w:pPr>
            <w:r>
              <w:rPr>
                <w:rFonts w:ascii="宋体" w:hAnsi="宋体" w:hint="eastAsia"/>
              </w:rPr>
              <w:t>以上最高得100%。</w:t>
            </w:r>
          </w:p>
          <w:p>
            <w:pPr>
              <w:snapToGrid w:val="0"/>
              <w:spacing w:line="360" w:lineRule="auto"/>
              <w:rPr>
                <w:rFonts w:ascii="宋体" w:hAnsi="宋体"/>
                <w:b/>
                <w:color w:val="0000FF"/>
              </w:rPr>
            </w:pPr>
            <w:r>
              <w:rPr>
                <w:rFonts w:ascii="宋体" w:hAnsi="宋体" w:hint="eastAsia"/>
                <w:b/>
                <w:color w:val="0000FF"/>
              </w:rPr>
              <w:t>证明材料：</w:t>
            </w:r>
          </w:p>
          <w:p>
            <w:pPr>
              <w:numPr>
                <w:ilvl w:val="0"/>
                <w:numId w:val="1"/>
              </w:numPr>
              <w:snapToGrid w:val="0"/>
              <w:spacing w:after="60" w:line="360" w:lineRule="auto"/>
              <w:rPr>
                <w:rFonts w:ascii="宋体" w:hAnsi="宋体"/>
                <w:color w:val="0000FF"/>
              </w:rPr>
            </w:pPr>
            <w:r>
              <w:rPr>
                <w:rFonts w:ascii="宋体" w:hAnsi="宋体" w:hint="eastAsia"/>
                <w:color w:val="0000FF"/>
              </w:rPr>
              <w:t>第1项提供合同关键页，如无法体现，须另附合同甲方（须为国家机关或事业单位）出具的加盖公章的证明材料（提供的材料须能清晰反映年限）；</w:t>
            </w:r>
          </w:p>
          <w:p>
            <w:pPr>
              <w:numPr>
                <w:ilvl w:val="0"/>
                <w:numId w:val="1"/>
              </w:numPr>
              <w:snapToGrid w:val="0"/>
              <w:spacing w:after="60" w:line="360" w:lineRule="auto"/>
              <w:rPr>
                <w:rFonts w:ascii="宋体" w:hAnsi="宋体"/>
                <w:color w:val="0000FF"/>
              </w:rPr>
            </w:pPr>
            <w:r>
              <w:rPr>
                <w:rFonts w:ascii="宋体" w:hAnsi="宋体" w:hint="eastAsia"/>
                <w:color w:val="0000FF"/>
              </w:rPr>
              <w:t>第2项提供合同关键页，如无法体现，须另附行政复议、行政诉讼的证明材料；</w:t>
            </w:r>
          </w:p>
          <w:p>
            <w:pPr>
              <w:snapToGrid w:val="0"/>
              <w:spacing w:after="60" w:line="360" w:lineRule="auto"/>
              <w:rPr>
                <w:rFonts w:ascii="宋体" w:eastAsia="宋体" w:hAnsi="宋体"/>
                <w:szCs w:val="21"/>
              </w:rPr>
            </w:pPr>
            <w:r>
              <w:rPr>
                <w:rFonts w:ascii="宋体" w:hAnsi="宋体" w:hint="eastAsia"/>
                <w:color w:val="0000FF"/>
              </w:rPr>
              <w:t>3.未按要求提供相关证明材料（或相关证明材料无法判断是否符合评分要求）的不计得分，原件备查。</w:t>
            </w:r>
          </w:p>
        </w:tc>
      </w:tr>
      <w:tr>
        <w:tblPrEx>
          <w:tblW w:w="9779" w:type="dxa"/>
          <w:jc w:val="center"/>
          <w:tblLayout w:type="fixed"/>
          <w:tblCellMar>
            <w:top w:w="0" w:type="dxa"/>
            <w:left w:w="108" w:type="dxa"/>
            <w:bottom w:w="0" w:type="dxa"/>
            <w:right w:w="108" w:type="dxa"/>
          </w:tblCellMar>
        </w:tblPrEx>
        <w:trPr>
          <w:jc w:val="center"/>
        </w:trPr>
        <w:tc>
          <w:tcPr>
            <w:tcW w:w="692" w:type="dxa"/>
            <w:tcBorders>
              <w:top w:val="single" w:sz="4" w:space="0" w:color="auto"/>
              <w:left w:val="single" w:sz="4" w:space="0" w:color="auto"/>
              <w:bottom w:val="single" w:sz="4" w:space="0" w:color="auto"/>
              <w:right w:val="single" w:sz="4" w:space="0" w:color="auto"/>
            </w:tcBorders>
            <w:vAlign w:val="center"/>
          </w:tcPr>
          <w:p>
            <w:pPr>
              <w:spacing w:after="60"/>
              <w:jc w:val="center"/>
              <w:outlineLvl w:val="2"/>
              <w:rPr>
                <w:rFonts w:ascii="宋体" w:eastAsia="宋体" w:hAnsi="宋体"/>
                <w:szCs w:val="21"/>
              </w:rPr>
            </w:pPr>
          </w:p>
        </w:tc>
        <w:tc>
          <w:tcPr>
            <w:tcW w:w="727" w:type="dxa"/>
            <w:tcBorders>
              <w:top w:val="single" w:sz="4" w:space="0" w:color="auto"/>
              <w:left w:val="single" w:sz="4" w:space="0" w:color="auto"/>
              <w:bottom w:val="single" w:sz="4" w:space="0" w:color="auto"/>
              <w:right w:val="single" w:sz="4" w:space="0" w:color="auto"/>
            </w:tcBorders>
            <w:vAlign w:val="center"/>
          </w:tcPr>
          <w:p>
            <w:pPr>
              <w:spacing w:after="60"/>
              <w:jc w:val="center"/>
              <w:rPr>
                <w:rFonts w:ascii="宋体" w:eastAsia="宋体" w:hAnsi="宋体"/>
                <w:sz w:val="24"/>
                <w:szCs w:val="24"/>
              </w:rPr>
            </w:pPr>
            <w:r>
              <w:rPr>
                <w:rFonts w:ascii="宋体" w:hAnsi="宋体" w:hint="eastAsia"/>
                <w:sz w:val="24"/>
                <w:szCs w:val="24"/>
              </w:rPr>
              <w:t>4</w:t>
            </w:r>
          </w:p>
        </w:tc>
        <w:tc>
          <w:tcPr>
            <w:tcW w:w="1698" w:type="dxa"/>
            <w:tcBorders>
              <w:top w:val="single" w:sz="4" w:space="0" w:color="auto"/>
              <w:left w:val="single" w:sz="4" w:space="0" w:color="auto"/>
              <w:bottom w:val="single" w:sz="4" w:space="0" w:color="auto"/>
              <w:right w:val="single" w:sz="4" w:space="0" w:color="auto"/>
            </w:tcBorders>
            <w:vAlign w:val="center"/>
          </w:tcPr>
          <w:p>
            <w:pPr>
              <w:snapToGrid w:val="0"/>
              <w:spacing w:after="60" w:line="360" w:lineRule="auto"/>
              <w:jc w:val="center"/>
              <w:rPr>
                <w:rFonts w:ascii="宋体" w:eastAsia="宋体" w:hAnsi="宋体"/>
                <w:szCs w:val="21"/>
              </w:rPr>
            </w:pPr>
            <w:r>
              <w:rPr>
                <w:rFonts w:ascii="宋体" w:hAnsi="宋体" w:hint="eastAsia"/>
              </w:rPr>
              <w:t>职业道德和执业纪律</w:t>
            </w:r>
          </w:p>
        </w:tc>
        <w:tc>
          <w:tcPr>
            <w:tcW w:w="445" w:type="dxa"/>
            <w:tcBorders>
              <w:top w:val="single" w:sz="4" w:space="0" w:color="auto"/>
              <w:left w:val="single" w:sz="4" w:space="0" w:color="auto"/>
              <w:bottom w:val="single" w:sz="4" w:space="0" w:color="auto"/>
              <w:right w:val="single" w:sz="4" w:space="0" w:color="auto"/>
            </w:tcBorders>
            <w:vAlign w:val="center"/>
          </w:tcPr>
          <w:p>
            <w:pPr>
              <w:snapToGrid w:val="0"/>
              <w:spacing w:after="60" w:line="360" w:lineRule="auto"/>
              <w:jc w:val="center"/>
              <w:rPr>
                <w:rFonts w:ascii="宋体" w:eastAsia="宋体" w:hAnsi="宋体"/>
                <w:szCs w:val="21"/>
              </w:rPr>
            </w:pPr>
            <w:r>
              <w:rPr>
                <w:rFonts w:ascii="宋体" w:hAnsi="宋体" w:hint="eastAsia"/>
              </w:rPr>
              <w:t>5</w:t>
            </w:r>
          </w:p>
        </w:tc>
        <w:tc>
          <w:tcPr>
            <w:tcW w:w="6217" w:type="dxa"/>
            <w:tcBorders>
              <w:top w:val="single" w:sz="4" w:space="0" w:color="auto"/>
              <w:left w:val="single" w:sz="4" w:space="0" w:color="auto"/>
              <w:bottom w:val="single" w:sz="4" w:space="0" w:color="auto"/>
              <w:right w:val="single" w:sz="4" w:space="0" w:color="auto"/>
            </w:tcBorders>
            <w:vAlign w:val="center"/>
          </w:tcPr>
          <w:p>
            <w:pPr>
              <w:spacing w:after="60" w:line="360" w:lineRule="auto"/>
              <w:rPr>
                <w:rFonts w:ascii="宋体" w:hAnsi="宋体"/>
              </w:rPr>
            </w:pPr>
            <w:r>
              <w:rPr>
                <w:rFonts w:ascii="宋体" w:hAnsi="宋体" w:hint="eastAsia"/>
              </w:rPr>
              <w:t>投标人在2019年1月1日以来未受过：市级或以上司法行政机关行政处罚和市级或以上律师协会行业处分的得100%，其余不得分。</w:t>
            </w:r>
          </w:p>
          <w:p>
            <w:pPr>
              <w:snapToGrid w:val="0"/>
              <w:spacing w:line="360" w:lineRule="auto"/>
              <w:rPr>
                <w:rFonts w:ascii="宋体" w:hAnsi="宋体"/>
                <w:b/>
                <w:color w:val="0000FF"/>
              </w:rPr>
            </w:pPr>
            <w:r>
              <w:rPr>
                <w:rFonts w:ascii="宋体" w:hAnsi="宋体" w:hint="eastAsia"/>
                <w:b/>
                <w:color w:val="0000FF"/>
              </w:rPr>
              <w:t>证明材料：</w:t>
            </w:r>
          </w:p>
          <w:p>
            <w:pPr>
              <w:snapToGrid w:val="0"/>
              <w:spacing w:after="60" w:line="360" w:lineRule="auto"/>
              <w:rPr>
                <w:rFonts w:ascii="宋体" w:hAnsi="宋体"/>
                <w:color w:val="0000FF"/>
              </w:rPr>
            </w:pPr>
            <w:r>
              <w:rPr>
                <w:rFonts w:ascii="宋体" w:hAnsi="宋体" w:hint="eastAsia"/>
                <w:color w:val="0000FF"/>
              </w:rPr>
              <w:t>1.同时提供：</w:t>
            </w:r>
            <w:r>
              <w:rPr>
                <w:rFonts w:ascii="微软雅黑" w:eastAsia="微软雅黑" w:hAnsi="微软雅黑" w:hint="eastAsia"/>
                <w:color w:val="0000FF"/>
                <w:sz w:val="19"/>
                <w:szCs w:val="19"/>
                <w:shd w:val="clear" w:color="auto" w:fill="FFFFFF"/>
              </w:rPr>
              <w:t>①</w:t>
            </w:r>
            <w:r>
              <w:rPr>
                <w:rFonts w:ascii="宋体" w:hAnsi="宋体" w:hint="eastAsia"/>
                <w:color w:val="0000FF"/>
              </w:rPr>
              <w:t>市级或以上司法行政机关出具的未受处罚相关证明材料；</w:t>
            </w:r>
            <w:r>
              <w:rPr>
                <w:rFonts w:ascii="微软雅黑" w:eastAsia="微软雅黑" w:hAnsi="微软雅黑" w:hint="eastAsia"/>
                <w:color w:val="0000FF"/>
                <w:sz w:val="19"/>
                <w:szCs w:val="19"/>
                <w:shd w:val="clear" w:color="auto" w:fill="FFFFFF"/>
              </w:rPr>
              <w:t>②</w:t>
            </w:r>
            <w:r>
              <w:rPr>
                <w:rFonts w:ascii="宋体" w:hAnsi="宋体" w:hint="eastAsia"/>
                <w:color w:val="0000FF"/>
              </w:rPr>
              <w:t>市级或以上律师协会出具的未受处分的相关证明材料。</w:t>
            </w:r>
          </w:p>
          <w:p>
            <w:pPr>
              <w:snapToGrid w:val="0"/>
              <w:spacing w:after="60" w:line="360" w:lineRule="auto"/>
              <w:rPr>
                <w:rFonts w:ascii="宋体" w:eastAsia="宋体" w:hAnsi="宋体"/>
                <w:szCs w:val="21"/>
              </w:rPr>
            </w:pPr>
            <w:r>
              <w:rPr>
                <w:rFonts w:ascii="宋体" w:hAnsi="宋体" w:hint="eastAsia"/>
                <w:color w:val="0000FF"/>
              </w:rPr>
              <w:t>2.未按要求提供相关证明材料（或相关证明材料无法判断是否符合评分要求）的不计得分，原件备查。</w:t>
            </w:r>
          </w:p>
        </w:tc>
      </w:tr>
      <w:tr>
        <w:tblPrEx>
          <w:tblW w:w="9779" w:type="dxa"/>
          <w:jc w:val="center"/>
          <w:tblLayout w:type="fixed"/>
          <w:tblCellMar>
            <w:top w:w="0" w:type="dxa"/>
            <w:left w:w="108" w:type="dxa"/>
            <w:bottom w:w="0" w:type="dxa"/>
            <w:right w:w="108" w:type="dxa"/>
          </w:tblCellMar>
        </w:tblPrEx>
        <w:trPr>
          <w:jc w:val="center"/>
        </w:trPr>
        <w:tc>
          <w:tcPr>
            <w:tcW w:w="692" w:type="dxa"/>
            <w:vMerge w:val="restart"/>
            <w:tcBorders>
              <w:top w:val="nil"/>
              <w:left w:val="single" w:sz="4" w:space="0" w:color="auto"/>
              <w:bottom w:val="single" w:sz="4" w:space="0" w:color="auto"/>
              <w:right w:val="single" w:sz="4" w:space="0" w:color="auto"/>
            </w:tcBorders>
            <w:vAlign w:val="center"/>
          </w:tcPr>
          <w:p>
            <w:pPr>
              <w:snapToGrid w:val="0"/>
              <w:spacing w:after="60" w:line="360" w:lineRule="auto"/>
              <w:rPr>
                <w:rFonts w:ascii="宋体" w:eastAsia="宋体" w:hAnsi="宋体"/>
                <w:b/>
                <w:szCs w:val="21"/>
              </w:rPr>
            </w:pPr>
            <w:r>
              <w:rPr>
                <w:rFonts w:ascii="宋体" w:hAnsi="宋体" w:hint="eastAsia"/>
                <w:b/>
              </w:rPr>
              <w:t>4</w:t>
            </w:r>
          </w:p>
        </w:tc>
        <w:tc>
          <w:tcPr>
            <w:tcW w:w="2870" w:type="dxa"/>
            <w:gridSpan w:val="3"/>
            <w:tcBorders>
              <w:top w:val="single" w:sz="4" w:space="0" w:color="auto"/>
              <w:left w:val="single" w:sz="4" w:space="0" w:color="auto"/>
              <w:bottom w:val="single" w:sz="4" w:space="0" w:color="auto"/>
              <w:right w:val="single" w:sz="4" w:space="0" w:color="auto"/>
            </w:tcBorders>
            <w:vAlign w:val="center"/>
          </w:tcPr>
          <w:p>
            <w:pPr>
              <w:snapToGrid w:val="0"/>
              <w:spacing w:after="60" w:line="360" w:lineRule="auto"/>
              <w:ind w:firstLine="840" w:firstLineChars="400"/>
              <w:rPr>
                <w:rFonts w:ascii="宋体" w:eastAsia="宋体" w:hAnsi="宋体"/>
                <w:b/>
                <w:szCs w:val="21"/>
              </w:rPr>
            </w:pPr>
            <w:r>
              <w:rPr>
                <w:rFonts w:ascii="宋体" w:hAnsi="宋体" w:hint="eastAsia"/>
                <w:b/>
              </w:rPr>
              <w:t>其他部分</w:t>
            </w:r>
          </w:p>
        </w:tc>
        <w:tc>
          <w:tcPr>
            <w:tcW w:w="6217" w:type="dxa"/>
            <w:tcBorders>
              <w:top w:val="single" w:sz="4" w:space="0" w:color="auto"/>
              <w:left w:val="single" w:sz="4" w:space="0" w:color="auto"/>
              <w:bottom w:val="single" w:sz="4" w:space="0" w:color="auto"/>
              <w:right w:val="single" w:sz="4" w:space="0" w:color="auto"/>
            </w:tcBorders>
            <w:vAlign w:val="center"/>
          </w:tcPr>
          <w:p>
            <w:pPr>
              <w:snapToGrid w:val="0"/>
              <w:spacing w:after="60" w:line="360" w:lineRule="auto"/>
              <w:jc w:val="center"/>
              <w:rPr>
                <w:rFonts w:ascii="宋体" w:eastAsia="宋体" w:hAnsi="宋体"/>
                <w:szCs w:val="21"/>
              </w:rPr>
            </w:pPr>
            <w:r>
              <w:rPr>
                <w:rFonts w:ascii="宋体" w:hAnsi="宋体" w:hint="eastAsia"/>
              </w:rPr>
              <w:t>5</w:t>
            </w:r>
          </w:p>
        </w:tc>
      </w:tr>
      <w:tr>
        <w:tblPrEx>
          <w:tblW w:w="9779" w:type="dxa"/>
          <w:jc w:val="center"/>
          <w:tblLayout w:type="fixed"/>
          <w:tblCellMar>
            <w:top w:w="0" w:type="dxa"/>
            <w:left w:w="108" w:type="dxa"/>
            <w:bottom w:w="0" w:type="dxa"/>
            <w:right w:w="108" w:type="dxa"/>
          </w:tblCellMar>
        </w:tblPrEx>
        <w:trPr>
          <w:jc w:val="center"/>
        </w:trPr>
        <w:tc>
          <w:tcPr>
            <w:tcW w:w="692"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b/>
                <w:szCs w:val="21"/>
              </w:rPr>
            </w:pPr>
          </w:p>
        </w:tc>
        <w:tc>
          <w:tcPr>
            <w:tcW w:w="727" w:type="dxa"/>
            <w:tcBorders>
              <w:top w:val="single" w:sz="4" w:space="0" w:color="auto"/>
              <w:left w:val="single" w:sz="4" w:space="0" w:color="auto"/>
              <w:bottom w:val="single" w:sz="4" w:space="0" w:color="auto"/>
              <w:right w:val="single" w:sz="4" w:space="0" w:color="auto"/>
            </w:tcBorders>
            <w:vAlign w:val="center"/>
          </w:tcPr>
          <w:p>
            <w:pPr>
              <w:snapToGrid w:val="0"/>
              <w:spacing w:after="60" w:line="360" w:lineRule="auto"/>
              <w:rPr>
                <w:rFonts w:ascii="宋体" w:eastAsia="宋体" w:hAnsi="宋体"/>
                <w:b/>
                <w:szCs w:val="21"/>
              </w:rPr>
            </w:pPr>
            <w:r>
              <w:rPr>
                <w:rFonts w:ascii="宋体" w:hAnsi="宋体" w:hint="eastAsia"/>
                <w:b/>
              </w:rPr>
              <w:t>序号</w:t>
            </w:r>
          </w:p>
        </w:tc>
        <w:tc>
          <w:tcPr>
            <w:tcW w:w="1698" w:type="dxa"/>
            <w:tcBorders>
              <w:top w:val="single" w:sz="4" w:space="0" w:color="auto"/>
              <w:left w:val="single" w:sz="4" w:space="0" w:color="auto"/>
              <w:bottom w:val="single" w:sz="4" w:space="0" w:color="auto"/>
              <w:right w:val="single" w:sz="4" w:space="0" w:color="auto"/>
            </w:tcBorders>
            <w:vAlign w:val="center"/>
          </w:tcPr>
          <w:p>
            <w:pPr>
              <w:snapToGrid w:val="0"/>
              <w:spacing w:after="60" w:line="360" w:lineRule="auto"/>
              <w:jc w:val="center"/>
              <w:rPr>
                <w:rFonts w:ascii="宋体" w:eastAsia="宋体" w:hAnsi="宋体"/>
                <w:szCs w:val="21"/>
              </w:rPr>
            </w:pPr>
            <w:r>
              <w:rPr>
                <w:rFonts w:ascii="宋体" w:hAnsi="宋体" w:hint="eastAsia"/>
                <w:b/>
              </w:rPr>
              <w:t>评分因素</w:t>
            </w:r>
          </w:p>
        </w:tc>
        <w:tc>
          <w:tcPr>
            <w:tcW w:w="445" w:type="dxa"/>
            <w:tcBorders>
              <w:top w:val="single" w:sz="4" w:space="0" w:color="auto"/>
              <w:left w:val="single" w:sz="4" w:space="0" w:color="auto"/>
              <w:bottom w:val="single" w:sz="4" w:space="0" w:color="auto"/>
              <w:right w:val="single" w:sz="4" w:space="0" w:color="auto"/>
            </w:tcBorders>
            <w:vAlign w:val="center"/>
          </w:tcPr>
          <w:p>
            <w:pPr>
              <w:snapToGrid w:val="0"/>
              <w:spacing w:after="60" w:line="360" w:lineRule="auto"/>
              <w:jc w:val="center"/>
              <w:rPr>
                <w:rFonts w:ascii="宋体" w:eastAsia="宋体" w:hAnsi="宋体"/>
                <w:szCs w:val="21"/>
              </w:rPr>
            </w:pPr>
            <w:r>
              <w:rPr>
                <w:rFonts w:ascii="宋体" w:hAnsi="宋体" w:hint="eastAsia"/>
                <w:b/>
              </w:rPr>
              <w:t>权重</w:t>
            </w:r>
          </w:p>
        </w:tc>
        <w:tc>
          <w:tcPr>
            <w:tcW w:w="6217" w:type="dxa"/>
            <w:tcBorders>
              <w:top w:val="single" w:sz="4" w:space="0" w:color="auto"/>
              <w:left w:val="single" w:sz="4" w:space="0" w:color="auto"/>
              <w:bottom w:val="single" w:sz="4" w:space="0" w:color="auto"/>
              <w:right w:val="single" w:sz="4" w:space="0" w:color="auto"/>
            </w:tcBorders>
            <w:vAlign w:val="center"/>
          </w:tcPr>
          <w:p>
            <w:pPr>
              <w:snapToGrid w:val="0"/>
              <w:spacing w:after="60" w:line="360" w:lineRule="auto"/>
              <w:jc w:val="center"/>
              <w:rPr>
                <w:rFonts w:ascii="宋体" w:eastAsia="宋体" w:hAnsi="宋体"/>
                <w:szCs w:val="21"/>
              </w:rPr>
            </w:pPr>
            <w:r>
              <w:rPr>
                <w:rFonts w:ascii="宋体" w:hAnsi="宋体" w:hint="eastAsia"/>
                <w:b/>
              </w:rPr>
              <w:t>评分准则</w:t>
            </w:r>
          </w:p>
        </w:tc>
      </w:tr>
      <w:tr>
        <w:tblPrEx>
          <w:tblW w:w="9779" w:type="dxa"/>
          <w:jc w:val="center"/>
          <w:tblLayout w:type="fixed"/>
          <w:tblCellMar>
            <w:top w:w="0" w:type="dxa"/>
            <w:left w:w="108" w:type="dxa"/>
            <w:bottom w:w="0" w:type="dxa"/>
            <w:right w:w="108" w:type="dxa"/>
          </w:tblCellMar>
        </w:tblPrEx>
        <w:trPr>
          <w:jc w:val="center"/>
        </w:trPr>
        <w:tc>
          <w:tcPr>
            <w:tcW w:w="692"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b/>
                <w:szCs w:val="21"/>
              </w:rPr>
            </w:pPr>
          </w:p>
        </w:tc>
        <w:tc>
          <w:tcPr>
            <w:tcW w:w="727" w:type="dxa"/>
            <w:tcBorders>
              <w:top w:val="single" w:sz="4" w:space="0" w:color="auto"/>
              <w:left w:val="single" w:sz="4" w:space="0" w:color="auto"/>
              <w:bottom w:val="single" w:sz="4" w:space="0" w:color="auto"/>
              <w:right w:val="single" w:sz="4" w:space="0" w:color="auto"/>
            </w:tcBorders>
            <w:vAlign w:val="center"/>
          </w:tcPr>
          <w:p>
            <w:pPr>
              <w:snapToGrid w:val="0"/>
              <w:spacing w:after="60" w:line="360" w:lineRule="auto"/>
              <w:jc w:val="center"/>
              <w:rPr>
                <w:rFonts w:ascii="宋体" w:eastAsia="宋体" w:hAnsi="宋体"/>
                <w:szCs w:val="21"/>
              </w:rPr>
            </w:pPr>
            <w:r>
              <w:rPr>
                <w:rFonts w:ascii="宋体" w:hAnsi="宋体" w:hint="eastAsia"/>
              </w:rPr>
              <w:t>1</w:t>
            </w:r>
          </w:p>
        </w:tc>
        <w:tc>
          <w:tcPr>
            <w:tcW w:w="1698" w:type="dxa"/>
            <w:tcBorders>
              <w:top w:val="single" w:sz="4" w:space="0" w:color="auto"/>
              <w:left w:val="single" w:sz="4" w:space="0" w:color="auto"/>
              <w:bottom w:val="single" w:sz="4" w:space="0" w:color="auto"/>
              <w:right w:val="single" w:sz="4" w:space="0" w:color="auto"/>
            </w:tcBorders>
            <w:vAlign w:val="center"/>
          </w:tcPr>
          <w:p>
            <w:pPr>
              <w:snapToGrid w:val="0"/>
              <w:spacing w:after="60" w:line="360" w:lineRule="auto"/>
              <w:jc w:val="center"/>
              <w:rPr>
                <w:rFonts w:ascii="宋体" w:eastAsia="宋体" w:hAnsi="宋体"/>
                <w:szCs w:val="21"/>
              </w:rPr>
            </w:pPr>
            <w:r>
              <w:rPr>
                <w:rFonts w:ascii="宋体" w:hAnsi="宋体" w:hint="eastAsia"/>
              </w:rPr>
              <w:t>诚信分</w:t>
            </w:r>
          </w:p>
        </w:tc>
        <w:tc>
          <w:tcPr>
            <w:tcW w:w="445" w:type="dxa"/>
            <w:tcBorders>
              <w:top w:val="single" w:sz="4" w:space="0" w:color="auto"/>
              <w:left w:val="single" w:sz="4" w:space="0" w:color="auto"/>
              <w:bottom w:val="single" w:sz="4" w:space="0" w:color="auto"/>
              <w:right w:val="single" w:sz="4" w:space="0" w:color="auto"/>
            </w:tcBorders>
            <w:vAlign w:val="center"/>
          </w:tcPr>
          <w:p>
            <w:pPr>
              <w:snapToGrid w:val="0"/>
              <w:spacing w:after="60" w:line="360" w:lineRule="auto"/>
              <w:jc w:val="center"/>
              <w:rPr>
                <w:rFonts w:ascii="宋体" w:eastAsia="宋体" w:hAnsi="宋体"/>
                <w:szCs w:val="21"/>
              </w:rPr>
            </w:pPr>
            <w:r>
              <w:rPr>
                <w:rFonts w:ascii="宋体" w:hAnsi="宋体" w:hint="eastAsia"/>
              </w:rPr>
              <w:t>5</w:t>
            </w:r>
          </w:p>
        </w:tc>
        <w:tc>
          <w:tcPr>
            <w:tcW w:w="6217" w:type="dxa"/>
            <w:tcBorders>
              <w:top w:val="single" w:sz="4" w:space="0" w:color="auto"/>
              <w:left w:val="single" w:sz="4" w:space="0" w:color="auto"/>
              <w:bottom w:val="single" w:sz="4" w:space="0" w:color="auto"/>
              <w:right w:val="single" w:sz="4" w:space="0" w:color="auto"/>
            </w:tcBorders>
            <w:vAlign w:val="center"/>
          </w:tcPr>
          <w:p>
            <w:pPr>
              <w:snapToGrid w:val="0"/>
              <w:spacing w:after="60" w:line="360" w:lineRule="auto"/>
              <w:rPr>
                <w:rFonts w:ascii="宋体" w:eastAsia="宋体" w:hAnsi="宋体"/>
                <w:szCs w:val="21"/>
              </w:rPr>
            </w:pPr>
            <w:r>
              <w:rPr>
                <w:rFonts w:ascii="宋体" w:hAnsi="宋体" w:hint="eastAsia"/>
                <w:bCs/>
              </w:rPr>
              <w:t>投标人在参与政府采购活动中存在诚信相关问题且在主管部门相关处理措施实施期限内的，本项不得分，否则得满分。投标人无需提供任何证明材料，由政府集中采购机构工作人员查询后向评审委员会提供相关信息。</w:t>
            </w:r>
          </w:p>
        </w:tc>
      </w:tr>
    </w:tbl>
    <w:p>
      <w:pPr>
        <w:widowControl/>
        <w:jc w:val="left"/>
      </w:pPr>
      <w:r>
        <w:br w:type="page"/>
      </w:r>
    </w:p>
    <w:p>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第一章  招标公告</w:t>
      </w:r>
    </w:p>
    <w:p>
      <w:pPr>
        <w:snapToGrid w:val="0"/>
        <w:spacing w:line="300" w:lineRule="exact"/>
        <w:rPr>
          <w:rFonts w:ascii="Arial" w:eastAsia="宋体" w:hAnsi="Arial" w:cs="Times New Roman"/>
          <w:szCs w:val="21"/>
        </w:rPr>
      </w:pPr>
      <w:r>
        <w:rPr>
          <w:rFonts w:ascii="Arial" w:eastAsia="宋体" w:hAnsi="Arial" w:cs="Times New Roman" w:hint="eastAsia"/>
          <w:b/>
          <w:bCs/>
          <w:szCs w:val="21"/>
        </w:rPr>
        <w:t>申请人的资格要求：</w:t>
      </w:r>
    </w:p>
    <w:p>
      <w:pPr>
        <w:spacing w:line="520" w:lineRule="exact"/>
        <w:ind w:firstLine="420" w:firstLineChars="200"/>
        <w:jc w:val="left"/>
        <w:rPr>
          <w:rFonts w:asciiTheme="minorEastAsia" w:hAnsiTheme="minorEastAsia" w:cs="Times New Roman"/>
          <w:b/>
          <w:sz w:val="24"/>
          <w:szCs w:val="24"/>
        </w:rPr>
      </w:pPr>
      <w:r>
        <w:rPr>
          <w:rFonts w:asciiTheme="minorEastAsia" w:hAnsiTheme="minorEastAsia" w:cs="Times New Roman" w:hint="eastAsia"/>
          <w:b/>
          <w:sz w:val="24"/>
          <w:szCs w:val="24"/>
        </w:rPr>
        <w:t>1）具有独立法人资格或是具有独立承担民事责任能力的其它组织。[提供《律师事务所执业许可证》（如为分所参与投标的则需提供《律师事务所分所执业许可证》），并同时提供考核有效期内且考核结果为“合格”的年度检查考核记录证明材料，原件备查：①如为分所参与投标的，需提供由其总所出具并加盖公章的授权函（需明确总所愿为其参与本项目投标行为及其履约等行为承担民事责任），同时提供总所的《律师事务所执业许可证》；②律师事务所总所和分所不得同时参与本项目投标；③如为分所参与投标且律师事务所设有多个分所的，只允许一个分所参与本项目投标。]</w:t>
      </w:r>
    </w:p>
    <w:p>
      <w:pPr>
        <w:spacing w:line="520" w:lineRule="exact"/>
        <w:ind w:firstLine="420" w:firstLineChars="200"/>
        <w:jc w:val="left"/>
        <w:rPr>
          <w:rFonts w:asciiTheme="minorEastAsia" w:hAnsiTheme="minorEastAsia" w:cs="Times New Roman"/>
          <w:sz w:val="24"/>
          <w:szCs w:val="24"/>
        </w:rPr>
      </w:pPr>
      <w:r>
        <w:rPr>
          <w:rFonts w:asciiTheme="minorEastAsia" w:hAnsiTheme="minorEastAsia" w:cs="Times New Roman" w:hint="eastAsia"/>
          <w:sz w:val="24"/>
          <w:szCs w:val="24"/>
        </w:rPr>
        <w:t>2）本项目不接受联合体投标。</w:t>
      </w:r>
    </w:p>
    <w:p>
      <w:pPr>
        <w:spacing w:line="520" w:lineRule="exact"/>
        <w:ind w:firstLine="420" w:firstLineChars="200"/>
        <w:jc w:val="left"/>
        <w:rPr>
          <w:rFonts w:asciiTheme="minorEastAsia" w:hAnsiTheme="minorEastAsia" w:cs="Times New Roman"/>
          <w:sz w:val="24"/>
          <w:szCs w:val="24"/>
        </w:rPr>
      </w:pPr>
      <w:r>
        <w:rPr>
          <w:rFonts w:asciiTheme="minorEastAsia" w:hAnsiTheme="minorEastAsia" w:cs="Times New Roman" w:hint="eastAsia"/>
          <w:sz w:val="24"/>
          <w:szCs w:val="24"/>
        </w:rPr>
        <w:t>3）参与本项目投标前三年内，在经营活动中没有重大违法记录（在《政府采购投标及履约承诺函》中作出声明）。</w:t>
      </w:r>
    </w:p>
    <w:p>
      <w:pPr>
        <w:spacing w:line="520" w:lineRule="exact"/>
        <w:ind w:firstLine="420" w:firstLineChars="200"/>
        <w:jc w:val="left"/>
        <w:rPr>
          <w:rFonts w:asciiTheme="minorEastAsia" w:hAnsiTheme="minorEastAsia" w:cs="Times New Roman"/>
          <w:sz w:val="24"/>
          <w:szCs w:val="24"/>
        </w:rPr>
      </w:pPr>
      <w:r>
        <w:rPr>
          <w:rFonts w:asciiTheme="minorEastAsia" w:hAnsiTheme="minorEastAsia" w:cs="Times New Roman" w:hint="eastAsia"/>
          <w:sz w:val="24"/>
          <w:szCs w:val="24"/>
        </w:rPr>
        <w:t>4）参与本项目政府采购活动时不存在被有关部门禁止参与政府采购活动且在有效期内的情况（在《政府采购投标及履约承诺函》中作出声明）。</w:t>
      </w:r>
    </w:p>
    <w:p>
      <w:pPr>
        <w:spacing w:line="520" w:lineRule="exact"/>
        <w:ind w:firstLine="420" w:firstLineChars="200"/>
        <w:jc w:val="left"/>
        <w:rPr>
          <w:rFonts w:asciiTheme="minorEastAsia" w:hAnsiTheme="minorEastAsia" w:cs="Times New Roman"/>
          <w:sz w:val="24"/>
          <w:szCs w:val="24"/>
        </w:rPr>
      </w:pPr>
      <w:r>
        <w:rPr>
          <w:rFonts w:asciiTheme="minorEastAsia" w:hAnsiTheme="minorEastAsia" w:cs="Times New Roman" w:hint="eastAsia"/>
          <w:sz w:val="24"/>
          <w:szCs w:val="24"/>
        </w:rPr>
        <w:t>5）具备《中华人民共和国政府采购法》第二十二条第一款的条件（在《政府采购投标及履约承诺函》中作出声明）。</w:t>
      </w:r>
    </w:p>
    <w:p>
      <w:pPr>
        <w:spacing w:line="520" w:lineRule="exact"/>
        <w:ind w:firstLine="420" w:firstLineChars="200"/>
        <w:jc w:val="left"/>
        <w:rPr>
          <w:rFonts w:asciiTheme="minorEastAsia" w:hAnsiTheme="minorEastAsia" w:cs="Times New Roman"/>
          <w:sz w:val="24"/>
          <w:szCs w:val="24"/>
        </w:rPr>
      </w:pPr>
      <w:r>
        <w:rPr>
          <w:rFonts w:asciiTheme="minorEastAsia" w:hAnsiTheme="minorEastAsia" w:cs="Times New Roman" w:hint="eastAsia"/>
          <w:sz w:val="24"/>
          <w:szCs w:val="24"/>
        </w:rPr>
        <w:t>6）未被列入失信被执行人、重大税收违法案件当事人名单、政府采购严重违法失信行为记录名单（在《政府采购投标及履约承诺函》中作出声明。注：“信用中国”、“中国政府采购网”、“深圳信用网”以及“深圳市政府采购监管网”为信息查询渠道，相关信息以开标当日的查询结果为准）。</w:t>
      </w:r>
    </w:p>
    <w:p>
      <w:pPr>
        <w:spacing w:line="520" w:lineRule="exact"/>
        <w:ind w:firstLine="420" w:firstLineChars="200"/>
        <w:jc w:val="left"/>
        <w:rPr>
          <w:rFonts w:asciiTheme="minorEastAsia" w:hAnsiTheme="minorEastAsia" w:cs="Times New Roman"/>
          <w:sz w:val="24"/>
          <w:szCs w:val="24"/>
        </w:rPr>
      </w:pPr>
      <w:r>
        <w:rPr>
          <w:rFonts w:asciiTheme="minorEastAsia" w:hAnsiTheme="minorEastAsia" w:cs="Times New Roman" w:hint="eastAsia"/>
          <w:sz w:val="24"/>
          <w:szCs w:val="24"/>
        </w:rPr>
        <w:t>7）单位负责人为同一人或者存在直接控股、管理关系的不同供应商，不得参加同一合同项下的政府采购活动；为采购项目提供整体设计、规范编制或者项目管理、监理、检测等服务的供应商，不得再参加该采购项目的其他采购活动（在《政府采购投标及履约承诺函》中作出声明）。</w:t>
      </w:r>
    </w:p>
    <w:p>
      <w:pPr>
        <w:spacing w:after="78" w:afterLines="25"/>
        <w:rPr>
          <w:rFonts w:ascii="Arial" w:eastAsia="宋体" w:hAnsi="Arial" w:cs="Times New Roman"/>
          <w:b/>
          <w:color w:val="FF0000"/>
          <w:sz w:val="30"/>
          <w:szCs w:val="30"/>
        </w:rPr>
      </w:pPr>
      <w:r>
        <w:rPr>
          <w:rFonts w:ascii="Arial" w:eastAsia="宋体" w:hAnsi="Arial" w:cs="Times New Roman" w:hint="eastAsia"/>
          <w:b/>
          <w:color w:val="FF0000"/>
          <w:sz w:val="30"/>
          <w:szCs w:val="30"/>
        </w:rPr>
        <w:t>完整公告内容以网站公布信息为准，详见：</w:t>
      </w:r>
      <w:r>
        <w:rPr>
          <w:b/>
          <w:color w:val="FF0000"/>
          <w:sz w:val="30"/>
          <w:szCs w:val="30"/>
        </w:rPr>
        <w:t>http://zfcg.szggzy.com:8081/</w:t>
      </w:r>
    </w:p>
    <w:p>
      <w:pPr>
        <w:keepNext/>
        <w:keepLines/>
        <w:spacing w:before="260" w:after="260" w:line="416" w:lineRule="auto"/>
        <w:jc w:val="center"/>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 xml:space="preserve">第二章 </w:t>
      </w:r>
      <w:bookmarkStart w:id="2" w:name="_Hlk71926094"/>
      <w:r>
        <w:rPr>
          <w:rFonts w:ascii="宋体" w:eastAsia="宋体" w:hAnsi="宋体" w:cs="Times New Roman" w:hint="eastAsia"/>
          <w:b/>
          <w:bCs/>
          <w:kern w:val="0"/>
          <w:sz w:val="28"/>
          <w:szCs w:val="28"/>
        </w:rPr>
        <w:t>对通用条款的补充内容及其他关键信息</w:t>
      </w:r>
      <w:bookmarkEnd w:id="2"/>
    </w:p>
    <w:p>
      <w:pPr>
        <w:keepNext/>
        <w:keepLines/>
        <w:adjustRightInd w:val="0"/>
        <w:spacing w:before="156" w:beforeLines="50" w:after="156" w:afterLines="50"/>
        <w:jc w:val="center"/>
        <w:textAlignment w:val="baseline"/>
        <w:outlineLvl w:val="2"/>
        <w:rPr>
          <w:rFonts w:ascii="宋体" w:eastAsia="宋体" w:hAnsi="宋体" w:cs="Times New Roman"/>
          <w:b/>
          <w:bCs/>
          <w:kern w:val="0"/>
          <w:sz w:val="24"/>
          <w:szCs w:val="24"/>
        </w:rPr>
      </w:pPr>
      <w:bookmarkStart w:id="3" w:name="_Toc60560625"/>
      <w:bookmarkStart w:id="4" w:name="_Toc60631620"/>
      <w:bookmarkStart w:id="5" w:name="_Toc73518117"/>
      <w:bookmarkStart w:id="6" w:name="_Toc73521635"/>
      <w:bookmarkStart w:id="7" w:name="_Toc73521547"/>
      <w:bookmarkStart w:id="8" w:name="_Toc100052364"/>
      <w:bookmarkStart w:id="9" w:name="_Toc101074876"/>
      <w:bookmarkStart w:id="10" w:name="_Toc73517639"/>
      <w:r>
        <w:rPr>
          <w:rFonts w:ascii="宋体" w:eastAsia="宋体" w:hAnsi="宋体" w:cs="Times New Roman" w:hint="eastAsia"/>
          <w:b/>
          <w:bCs/>
          <w:kern w:val="0"/>
          <w:sz w:val="24"/>
          <w:szCs w:val="24"/>
        </w:rPr>
        <w:t>一、对通用条款的补充内容</w:t>
      </w:r>
      <w:bookmarkEnd w:id="3"/>
      <w:bookmarkEnd w:id="4"/>
      <w:bookmarkEnd w:id="5"/>
      <w:bookmarkEnd w:id="6"/>
      <w:bookmarkEnd w:id="7"/>
      <w:bookmarkEnd w:id="8"/>
      <w:bookmarkEnd w:id="9"/>
      <w:bookmarkEnd w:id="10"/>
    </w:p>
    <w:tbl>
      <w:tblPr>
        <w:tblStyle w:val="TableNormal"/>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9"/>
        <w:gridCol w:w="1280"/>
        <w:gridCol w:w="7371"/>
      </w:tblGrid>
      <w:tr>
        <w:tblPrEx>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0"/>
          <w:jc w:val="center"/>
        </w:trPr>
        <w:tc>
          <w:tcPr>
            <w:tcW w:w="849" w:type="dxa"/>
            <w:vAlign w:val="center"/>
          </w:tcPr>
          <w:p>
            <w:pPr>
              <w:snapToGrid w:val="0"/>
              <w:jc w:val="center"/>
              <w:rPr>
                <w:rFonts w:ascii="宋体" w:eastAsia="宋体" w:hAnsi="宋体" w:cs="Arial"/>
                <w:b/>
                <w:szCs w:val="21"/>
              </w:rPr>
            </w:pPr>
            <w:r>
              <w:br w:type="page"/>
            </w:r>
            <w:r>
              <w:rPr>
                <w:rFonts w:ascii="宋体" w:eastAsia="宋体" w:hAnsi="宋体" w:cs="Arial" w:hint="eastAsia"/>
                <w:b/>
                <w:szCs w:val="21"/>
              </w:rPr>
              <w:t>通用条款序号</w:t>
            </w:r>
          </w:p>
        </w:tc>
        <w:tc>
          <w:tcPr>
            <w:tcW w:w="1280" w:type="dxa"/>
            <w:vAlign w:val="center"/>
          </w:tcPr>
          <w:p>
            <w:pPr>
              <w:snapToGrid w:val="0"/>
              <w:jc w:val="center"/>
              <w:rPr>
                <w:rFonts w:ascii="宋体" w:eastAsia="宋体" w:hAnsi="宋体" w:cs="Arial"/>
                <w:b/>
                <w:szCs w:val="21"/>
              </w:rPr>
            </w:pPr>
            <w:r>
              <w:br w:type="page"/>
            </w:r>
            <w:r>
              <w:rPr>
                <w:rFonts w:ascii="宋体" w:eastAsia="宋体" w:hAnsi="宋体" w:cs="Arial" w:hint="eastAsia"/>
                <w:b/>
                <w:szCs w:val="21"/>
              </w:rPr>
              <w:t>涉及事项</w:t>
            </w:r>
          </w:p>
        </w:tc>
        <w:tc>
          <w:tcPr>
            <w:tcW w:w="7371" w:type="dxa"/>
            <w:vAlign w:val="center"/>
          </w:tcPr>
          <w:p>
            <w:pPr>
              <w:snapToGrid w:val="0"/>
              <w:jc w:val="center"/>
              <w:rPr>
                <w:rFonts w:ascii="宋体" w:eastAsia="宋体" w:hAnsi="宋体" w:cs="Arial"/>
                <w:b/>
                <w:szCs w:val="21"/>
              </w:rPr>
            </w:pPr>
            <w:r>
              <w:rPr>
                <w:rFonts w:ascii="宋体" w:eastAsia="宋体" w:hAnsi="宋体" w:cs="Arial" w:hint="eastAsia"/>
                <w:b/>
                <w:szCs w:val="21"/>
              </w:rPr>
              <w:t>内容</w:t>
            </w:r>
          </w:p>
        </w:tc>
      </w:tr>
      <w:tr>
        <w:tblPrEx>
          <w:tblW w:w="9500" w:type="dxa"/>
          <w:jc w:val="center"/>
          <w:tblLayout w:type="fixed"/>
          <w:tblCellMar>
            <w:top w:w="0" w:type="dxa"/>
            <w:left w:w="108" w:type="dxa"/>
            <w:bottom w:w="0" w:type="dxa"/>
            <w:right w:w="108" w:type="dxa"/>
          </w:tblCellMar>
        </w:tblPrEx>
        <w:trPr>
          <w:trHeight w:val="20"/>
          <w:jc w:val="center"/>
        </w:trPr>
        <w:tc>
          <w:tcPr>
            <w:tcW w:w="849" w:type="dxa"/>
            <w:vAlign w:val="center"/>
          </w:tcPr>
          <w:p>
            <w:pPr>
              <w:snapToGrid w:val="0"/>
              <w:jc w:val="center"/>
              <w:rPr>
                <w:rFonts w:ascii="宋体" w:eastAsia="宋体" w:hAnsi="宋体" w:cs="Arial"/>
                <w:szCs w:val="21"/>
              </w:rPr>
            </w:pPr>
            <w:r>
              <w:rPr>
                <w:rFonts w:ascii="宋体" w:eastAsia="宋体" w:hAnsi="宋体" w:cs="Arial" w:hint="eastAsia"/>
                <w:szCs w:val="21"/>
              </w:rPr>
              <w:t>3.1</w:t>
            </w:r>
          </w:p>
        </w:tc>
        <w:tc>
          <w:tcPr>
            <w:tcW w:w="1280" w:type="dxa"/>
            <w:vAlign w:val="center"/>
          </w:tcPr>
          <w:p>
            <w:pPr>
              <w:snapToGrid w:val="0"/>
              <w:jc w:val="center"/>
              <w:rPr>
                <w:rFonts w:ascii="宋体" w:eastAsia="宋体" w:hAnsi="宋体" w:cs="Arial"/>
                <w:szCs w:val="21"/>
              </w:rPr>
            </w:pPr>
            <w:r>
              <w:rPr>
                <w:rFonts w:ascii="宋体" w:eastAsia="宋体" w:hAnsi="宋体" w:cs="Arial" w:hint="eastAsia"/>
                <w:szCs w:val="21"/>
              </w:rPr>
              <w:t>采购人</w:t>
            </w:r>
          </w:p>
        </w:tc>
        <w:tc>
          <w:tcPr>
            <w:tcW w:w="7371" w:type="dxa"/>
          </w:tcPr>
          <w:p>
            <w:pPr>
              <w:snapToGrid w:val="0"/>
              <w:rPr>
                <w:rFonts w:ascii="宋体" w:eastAsia="宋体" w:hAnsi="宋体" w:cs="Arial"/>
                <w:szCs w:val="21"/>
              </w:rPr>
            </w:pPr>
            <w:r>
              <w:rPr>
                <w:rFonts w:ascii="宋体" w:eastAsia="宋体" w:hAnsi="宋体" w:cs="Arial" w:hint="eastAsia"/>
                <w:szCs w:val="21"/>
              </w:rPr>
              <w:t>采购人：</w:t>
            </w:r>
            <w:r>
              <w:rPr>
                <w:rFonts w:ascii="宋体" w:eastAsia="宋体" w:hAnsi="宋体" w:cs="Arial" w:hint="eastAsia"/>
                <w:b/>
                <w:szCs w:val="21"/>
              </w:rPr>
              <w:t>深圳市宝安区石岩街道办事处</w:t>
            </w:r>
          </w:p>
        </w:tc>
      </w:tr>
      <w:tr>
        <w:tblPrEx>
          <w:tblW w:w="9500" w:type="dxa"/>
          <w:jc w:val="center"/>
          <w:tblLayout w:type="fixed"/>
          <w:tblCellMar>
            <w:top w:w="0" w:type="dxa"/>
            <w:left w:w="108" w:type="dxa"/>
            <w:bottom w:w="0" w:type="dxa"/>
            <w:right w:w="108" w:type="dxa"/>
          </w:tblCellMar>
        </w:tblPrEx>
        <w:trPr>
          <w:trHeight w:val="20"/>
          <w:jc w:val="center"/>
        </w:trPr>
        <w:tc>
          <w:tcPr>
            <w:tcW w:w="849" w:type="dxa"/>
            <w:vAlign w:val="center"/>
          </w:tcPr>
          <w:p>
            <w:pPr>
              <w:snapToGrid w:val="0"/>
              <w:jc w:val="center"/>
              <w:rPr>
                <w:rFonts w:ascii="宋体" w:eastAsia="宋体" w:hAnsi="宋体" w:cs="Arial"/>
                <w:szCs w:val="21"/>
              </w:rPr>
            </w:pPr>
            <w:r>
              <w:rPr>
                <w:rFonts w:ascii="宋体" w:eastAsia="宋体" w:hAnsi="宋体" w:cs="Arial" w:hint="eastAsia"/>
                <w:szCs w:val="21"/>
              </w:rPr>
              <w:t>3.2</w:t>
            </w:r>
          </w:p>
        </w:tc>
        <w:tc>
          <w:tcPr>
            <w:tcW w:w="1280" w:type="dxa"/>
            <w:vAlign w:val="center"/>
          </w:tcPr>
          <w:p>
            <w:pPr>
              <w:snapToGrid w:val="0"/>
              <w:jc w:val="center"/>
              <w:rPr>
                <w:rFonts w:ascii="宋体" w:eastAsia="宋体" w:hAnsi="宋体" w:cs="Arial"/>
                <w:szCs w:val="21"/>
              </w:rPr>
            </w:pPr>
            <w:r>
              <w:rPr>
                <w:rFonts w:ascii="宋体" w:eastAsia="宋体" w:hAnsi="宋体" w:cs="Arial" w:hint="eastAsia"/>
                <w:szCs w:val="21"/>
              </w:rPr>
              <w:t>政府集中采购机构</w:t>
            </w:r>
          </w:p>
        </w:tc>
        <w:tc>
          <w:tcPr>
            <w:tcW w:w="7371" w:type="dxa"/>
          </w:tcPr>
          <w:p>
            <w:pPr>
              <w:snapToGrid w:val="0"/>
              <w:ind w:firstLine="420" w:firstLineChars="200"/>
              <w:rPr>
                <w:rFonts w:ascii="Arial" w:eastAsia="宋体" w:hAnsi="Arial" w:cs="Times New Roman"/>
                <w:bCs/>
                <w:szCs w:val="24"/>
              </w:rPr>
            </w:pPr>
            <w:r>
              <w:rPr>
                <w:rFonts w:ascii="宋体" w:eastAsia="宋体" w:hAnsi="宋体" w:cs="Arial" w:hint="eastAsia"/>
                <w:szCs w:val="21"/>
              </w:rPr>
              <w:t>本文件所述的“政府集中采购机构”</w:t>
            </w:r>
            <w:r>
              <w:rPr>
                <w:rFonts w:ascii="宋体" w:eastAsia="宋体" w:hAnsi="宋体" w:cs="Arial"/>
                <w:szCs w:val="21"/>
              </w:rPr>
              <w:t>指</w:t>
            </w:r>
            <w:r>
              <w:rPr>
                <w:rFonts w:ascii="宋体" w:eastAsia="宋体" w:hAnsi="宋体" w:cs="Arial" w:hint="eastAsia"/>
                <w:b/>
                <w:bCs/>
                <w:szCs w:val="21"/>
              </w:rPr>
              <w:t>深圳公共资源交易中心</w:t>
            </w:r>
            <w:r>
              <w:rPr>
                <w:rFonts w:ascii="Arial" w:eastAsia="宋体" w:hAnsi="Arial" w:cs="Times New Roman" w:hint="eastAsia"/>
                <w:szCs w:val="24"/>
              </w:rPr>
              <w:t>。本项目具体由深圳公共资源交易中心（深圳交易集团有限公司宝安分公司）执行</w:t>
            </w:r>
            <w:r>
              <w:rPr>
                <w:rFonts w:ascii="Arial" w:eastAsia="宋体" w:hAnsi="Arial" w:cs="Times New Roman" w:hint="eastAsia"/>
                <w:bCs/>
                <w:szCs w:val="24"/>
              </w:rPr>
              <w:t>。</w:t>
            </w:r>
          </w:p>
        </w:tc>
      </w:tr>
      <w:tr>
        <w:tblPrEx>
          <w:tblW w:w="9500" w:type="dxa"/>
          <w:jc w:val="center"/>
          <w:tblLayout w:type="fixed"/>
          <w:tblCellMar>
            <w:top w:w="0" w:type="dxa"/>
            <w:left w:w="108" w:type="dxa"/>
            <w:bottom w:w="0" w:type="dxa"/>
            <w:right w:w="108" w:type="dxa"/>
          </w:tblCellMar>
        </w:tblPrEx>
        <w:trPr>
          <w:trHeight w:val="20"/>
          <w:jc w:val="center"/>
        </w:trPr>
        <w:tc>
          <w:tcPr>
            <w:tcW w:w="849" w:type="dxa"/>
            <w:vAlign w:val="center"/>
          </w:tcPr>
          <w:p>
            <w:pPr>
              <w:snapToGrid w:val="0"/>
              <w:jc w:val="center"/>
              <w:rPr>
                <w:rFonts w:ascii="宋体" w:eastAsia="宋体" w:hAnsi="宋体" w:cs="Arial"/>
                <w:szCs w:val="21"/>
              </w:rPr>
            </w:pPr>
            <w:r>
              <w:rPr>
                <w:rFonts w:ascii="宋体" w:eastAsia="宋体" w:hAnsi="宋体" w:cs="Arial" w:hint="eastAsia"/>
                <w:szCs w:val="21"/>
              </w:rPr>
              <w:t>12/13</w:t>
            </w:r>
          </w:p>
        </w:tc>
        <w:tc>
          <w:tcPr>
            <w:tcW w:w="1280" w:type="dxa"/>
            <w:vAlign w:val="center"/>
          </w:tcPr>
          <w:p>
            <w:pPr>
              <w:snapToGrid w:val="0"/>
              <w:jc w:val="center"/>
              <w:rPr>
                <w:rFonts w:ascii="宋体" w:eastAsia="宋体" w:hAnsi="宋体" w:cs="Arial"/>
                <w:szCs w:val="21"/>
              </w:rPr>
            </w:pPr>
            <w:r>
              <w:rPr>
                <w:rFonts w:ascii="宋体" w:eastAsia="宋体" w:hAnsi="宋体" w:cs="Arial" w:hint="eastAsia"/>
                <w:szCs w:val="21"/>
              </w:rPr>
              <w:t>招标文件澄清和修改</w:t>
            </w:r>
          </w:p>
        </w:tc>
        <w:tc>
          <w:tcPr>
            <w:tcW w:w="7371" w:type="dxa"/>
          </w:tcPr>
          <w:p>
            <w:pPr>
              <w:snapToGrid w:val="0"/>
              <w:rPr>
                <w:rFonts w:ascii="宋体" w:eastAsia="宋体" w:hAnsi="宋体" w:cs="Arial"/>
                <w:szCs w:val="21"/>
              </w:rPr>
            </w:pPr>
            <w:r>
              <w:rPr>
                <w:rFonts w:ascii="宋体" w:eastAsia="宋体" w:hAnsi="宋体" w:cs="Arial" w:hint="eastAsia"/>
                <w:szCs w:val="21"/>
              </w:rPr>
              <w:t xml:space="preserve">    对招标文件澄清/修改时间不晚于投标截止日三日前，投标人有义务在招标期间在政府集中采购机构网站浏览与本项目有关的澄清和修改信息</w:t>
            </w:r>
          </w:p>
        </w:tc>
      </w:tr>
      <w:tr>
        <w:tblPrEx>
          <w:tblW w:w="9500" w:type="dxa"/>
          <w:jc w:val="center"/>
          <w:tblLayout w:type="fixed"/>
          <w:tblCellMar>
            <w:top w:w="0" w:type="dxa"/>
            <w:left w:w="108" w:type="dxa"/>
            <w:bottom w:w="0" w:type="dxa"/>
            <w:right w:w="108" w:type="dxa"/>
          </w:tblCellMar>
        </w:tblPrEx>
        <w:trPr>
          <w:trHeight w:val="20"/>
          <w:jc w:val="center"/>
        </w:trPr>
        <w:tc>
          <w:tcPr>
            <w:tcW w:w="849" w:type="dxa"/>
            <w:vAlign w:val="center"/>
          </w:tcPr>
          <w:p>
            <w:pPr>
              <w:snapToGrid w:val="0"/>
              <w:jc w:val="center"/>
              <w:rPr>
                <w:rFonts w:ascii="宋体" w:eastAsia="宋体" w:hAnsi="宋体" w:cs="Arial"/>
                <w:szCs w:val="21"/>
              </w:rPr>
            </w:pPr>
            <w:r>
              <w:rPr>
                <w:rFonts w:ascii="宋体" w:eastAsia="宋体" w:hAnsi="宋体" w:cs="Arial" w:hint="eastAsia"/>
                <w:szCs w:val="21"/>
              </w:rPr>
              <w:t>20</w:t>
            </w:r>
          </w:p>
        </w:tc>
        <w:tc>
          <w:tcPr>
            <w:tcW w:w="1280" w:type="dxa"/>
            <w:vAlign w:val="center"/>
          </w:tcPr>
          <w:p>
            <w:pPr>
              <w:snapToGrid w:val="0"/>
              <w:jc w:val="center"/>
              <w:rPr>
                <w:rFonts w:ascii="宋体" w:eastAsia="宋体" w:hAnsi="宋体" w:cs="Arial"/>
                <w:szCs w:val="21"/>
              </w:rPr>
            </w:pPr>
            <w:r>
              <w:rPr>
                <w:rFonts w:ascii="宋体" w:eastAsia="宋体" w:hAnsi="宋体" w:cs="Arial" w:hint="eastAsia"/>
                <w:szCs w:val="21"/>
              </w:rPr>
              <w:t>投标有效期</w:t>
            </w:r>
          </w:p>
        </w:tc>
        <w:tc>
          <w:tcPr>
            <w:tcW w:w="7371" w:type="dxa"/>
          </w:tcPr>
          <w:p>
            <w:pPr>
              <w:snapToGrid w:val="0"/>
              <w:rPr>
                <w:rFonts w:ascii="宋体" w:eastAsia="宋体" w:hAnsi="宋体" w:cs="Arial"/>
                <w:szCs w:val="21"/>
              </w:rPr>
            </w:pPr>
            <w:r>
              <w:rPr>
                <w:rFonts w:ascii="宋体" w:eastAsia="宋体" w:hAnsi="宋体" w:cs="Arial" w:hint="eastAsia"/>
                <w:szCs w:val="21"/>
              </w:rPr>
              <w:t>投标有效期：从投标截止之日起</w:t>
            </w:r>
            <w:r>
              <w:rPr>
                <w:rFonts w:ascii="宋体" w:eastAsia="宋体" w:hAnsi="宋体" w:cs="Times New Roman" w:hint="eastAsia"/>
                <w:b/>
                <w:color w:val="0000FF"/>
                <w:sz w:val="24"/>
                <w:szCs w:val="24"/>
                <w:u w:val="single"/>
              </w:rPr>
              <w:t xml:space="preserve"> 120</w:t>
            </w:r>
            <w:r>
              <w:rPr>
                <w:rFonts w:ascii="宋体" w:eastAsia="宋体" w:hAnsi="宋体" w:cs="Arial" w:hint="eastAsia"/>
                <w:szCs w:val="21"/>
              </w:rPr>
              <w:t>个日历日。</w:t>
            </w:r>
          </w:p>
        </w:tc>
      </w:tr>
      <w:tr>
        <w:tblPrEx>
          <w:tblW w:w="9500" w:type="dxa"/>
          <w:jc w:val="center"/>
          <w:tblLayout w:type="fixed"/>
          <w:tblCellMar>
            <w:top w:w="0" w:type="dxa"/>
            <w:left w:w="108" w:type="dxa"/>
            <w:bottom w:w="0" w:type="dxa"/>
            <w:right w:w="108" w:type="dxa"/>
          </w:tblCellMar>
        </w:tblPrEx>
        <w:trPr>
          <w:trHeight w:val="20"/>
          <w:jc w:val="center"/>
        </w:trPr>
        <w:tc>
          <w:tcPr>
            <w:tcW w:w="849" w:type="dxa"/>
            <w:vAlign w:val="center"/>
          </w:tcPr>
          <w:p>
            <w:pPr>
              <w:snapToGrid w:val="0"/>
              <w:jc w:val="center"/>
              <w:rPr>
                <w:rFonts w:ascii="宋体" w:eastAsia="宋体" w:hAnsi="宋体" w:cs="Arial"/>
                <w:szCs w:val="21"/>
              </w:rPr>
            </w:pPr>
            <w:r>
              <w:rPr>
                <w:rFonts w:ascii="宋体" w:eastAsia="宋体" w:hAnsi="宋体" w:cs="Arial" w:hint="eastAsia"/>
                <w:szCs w:val="21"/>
              </w:rPr>
              <w:t>33</w:t>
            </w:r>
          </w:p>
        </w:tc>
        <w:tc>
          <w:tcPr>
            <w:tcW w:w="1280" w:type="dxa"/>
            <w:vAlign w:val="center"/>
          </w:tcPr>
          <w:p>
            <w:pPr>
              <w:snapToGrid w:val="0"/>
              <w:jc w:val="center"/>
              <w:rPr>
                <w:rFonts w:ascii="宋体" w:eastAsia="宋体" w:hAnsi="宋体" w:cs="Arial"/>
                <w:szCs w:val="21"/>
              </w:rPr>
            </w:pPr>
            <w:r>
              <w:rPr>
                <w:rFonts w:ascii="宋体" w:eastAsia="宋体" w:hAnsi="宋体" w:cs="Arial" w:hint="eastAsia"/>
                <w:szCs w:val="21"/>
              </w:rPr>
              <w:t>澄清有关问题</w:t>
            </w:r>
          </w:p>
        </w:tc>
        <w:tc>
          <w:tcPr>
            <w:tcW w:w="7371" w:type="dxa"/>
          </w:tcPr>
          <w:p>
            <w:pPr>
              <w:snapToGrid w:val="0"/>
              <w:rPr>
                <w:rFonts w:ascii="宋体" w:eastAsia="宋体" w:hAnsi="宋体" w:cs="Arial"/>
                <w:b/>
                <w:color w:val="FF0000"/>
                <w:sz w:val="28"/>
                <w:szCs w:val="28"/>
              </w:rPr>
            </w:pPr>
            <w:r>
              <w:rPr>
                <w:rFonts w:ascii="宋体" w:hAnsi="宋体" w:hint="eastAsia"/>
                <w:bCs/>
                <w:szCs w:val="21"/>
              </w:rPr>
              <w:t xml:space="preserve">    如需投标人进行必要的澄清、说明或者补正的，但投标法定代表人或其授权的代表无法联络或联络不上或在评审现场合理的时间内未按要求答复，评审委员会有权做出不利于投标人的判断，投标供应商自行承担由此产生的后果。</w:t>
            </w:r>
          </w:p>
        </w:tc>
      </w:tr>
      <w:tr>
        <w:tblPrEx>
          <w:tblW w:w="9500" w:type="dxa"/>
          <w:jc w:val="center"/>
          <w:tblLayout w:type="fixed"/>
          <w:tblCellMar>
            <w:top w:w="0" w:type="dxa"/>
            <w:left w:w="108" w:type="dxa"/>
            <w:bottom w:w="0" w:type="dxa"/>
            <w:right w:w="108" w:type="dxa"/>
          </w:tblCellMar>
        </w:tblPrEx>
        <w:trPr>
          <w:trHeight w:val="20"/>
          <w:jc w:val="center"/>
        </w:trPr>
        <w:tc>
          <w:tcPr>
            <w:tcW w:w="849" w:type="dxa"/>
            <w:vAlign w:val="center"/>
          </w:tcPr>
          <w:p>
            <w:pPr>
              <w:snapToGrid w:val="0"/>
              <w:jc w:val="center"/>
              <w:rPr>
                <w:rFonts w:ascii="宋体" w:eastAsia="宋体" w:hAnsi="宋体" w:cs="Arial"/>
                <w:szCs w:val="21"/>
              </w:rPr>
            </w:pPr>
            <w:r>
              <w:rPr>
                <w:rFonts w:ascii="宋体" w:eastAsia="宋体" w:hAnsi="宋体" w:cs="Arial" w:hint="eastAsia"/>
                <w:szCs w:val="21"/>
              </w:rPr>
              <w:t>37/38</w:t>
            </w:r>
          </w:p>
        </w:tc>
        <w:tc>
          <w:tcPr>
            <w:tcW w:w="1280" w:type="dxa"/>
            <w:vAlign w:val="center"/>
          </w:tcPr>
          <w:p>
            <w:pPr>
              <w:snapToGrid w:val="0"/>
              <w:jc w:val="center"/>
              <w:rPr>
                <w:rFonts w:ascii="宋体" w:eastAsia="宋体" w:hAnsi="宋体" w:cs="Arial"/>
                <w:szCs w:val="21"/>
              </w:rPr>
            </w:pPr>
            <w:r>
              <w:rPr>
                <w:rFonts w:ascii="宋体" w:eastAsia="宋体" w:hAnsi="宋体" w:cs="Arial" w:hint="eastAsia"/>
                <w:szCs w:val="21"/>
              </w:rPr>
              <w:t>评审方法和定标方法</w:t>
            </w:r>
          </w:p>
        </w:tc>
        <w:tc>
          <w:tcPr>
            <w:tcW w:w="7371" w:type="dxa"/>
          </w:tcPr>
          <w:p>
            <w:pPr>
              <w:snapToGrid w:val="0"/>
              <w:rPr>
                <w:rFonts w:ascii="宋体" w:eastAsia="宋体" w:hAnsi="宋体" w:cs="Times New Roman"/>
                <w:b/>
                <w:color w:val="FF0000"/>
                <w:szCs w:val="21"/>
              </w:rPr>
            </w:pPr>
            <w:r>
              <w:rPr>
                <w:rFonts w:ascii="宋体" w:eastAsia="宋体" w:hAnsi="宋体" w:cs="Times New Roman" w:hint="eastAsia"/>
                <w:b/>
                <w:color w:val="FF0000"/>
                <w:szCs w:val="21"/>
              </w:rPr>
              <w:t>本项目（包组）评审方法：</w:t>
            </w:r>
            <w:r>
              <w:rPr>
                <w:rFonts w:ascii="宋体" w:eastAsia="宋体" w:hAnsi="宋体" w:cs="Times New Roman" w:hint="eastAsia"/>
                <w:b/>
                <w:color w:val="0000FF"/>
                <w:szCs w:val="21"/>
              </w:rPr>
              <w:t>综合评分法</w:t>
            </w:r>
            <w:r>
              <w:rPr>
                <w:rFonts w:ascii="宋体" w:eastAsia="宋体" w:hAnsi="宋体" w:cs="Times New Roman" w:hint="eastAsia"/>
                <w:b/>
                <w:color w:val="FF0000"/>
                <w:szCs w:val="21"/>
              </w:rPr>
              <w:t>；  定标方法：</w:t>
            </w:r>
            <w:r>
              <w:rPr>
                <w:rFonts w:ascii="宋体" w:eastAsia="宋体" w:hAnsi="宋体" w:cs="Times New Roman" w:hint="eastAsia"/>
                <w:b/>
                <w:color w:val="0000FF"/>
                <w:szCs w:val="21"/>
                <w:highlight w:val="green"/>
              </w:rPr>
              <w:t>授权评审委员会确定中标供应商</w:t>
            </w:r>
            <w:r>
              <w:rPr>
                <w:rFonts w:ascii="宋体" w:eastAsia="宋体" w:hAnsi="宋体" w:cs="Times New Roman" w:hint="eastAsia"/>
                <w:b/>
                <w:color w:val="FF0000"/>
                <w:szCs w:val="21"/>
              </w:rPr>
              <w:t>。</w:t>
            </w:r>
          </w:p>
          <w:p>
            <w:pPr>
              <w:snapToGrid w:val="0"/>
              <w:rPr>
                <w:rFonts w:ascii="Arial" w:eastAsia="宋体" w:hAnsi="Arial" w:cs="Times New Roman"/>
                <w:color w:val="0000FF"/>
                <w:szCs w:val="21"/>
              </w:rPr>
            </w:pPr>
            <w:r>
              <w:rPr>
                <w:rFonts w:ascii="Arial" w:eastAsia="宋体" w:hAnsi="Arial" w:cs="Times New Roman" w:hint="eastAsia"/>
                <w:color w:val="0000FF"/>
                <w:szCs w:val="21"/>
              </w:rPr>
              <w:t>推荐候选中标供应商数量为</w:t>
            </w:r>
            <w:r>
              <w:rPr>
                <w:rFonts w:ascii="Arial" w:eastAsia="宋体" w:hAnsi="Arial" w:cs="Times New Roman" w:hint="eastAsia"/>
                <w:color w:val="0000FF"/>
                <w:sz w:val="24"/>
                <w:szCs w:val="24"/>
                <w:highlight w:val="green"/>
                <w:u w:val="single"/>
              </w:rPr>
              <w:t>1</w:t>
            </w:r>
            <w:r>
              <w:rPr>
                <w:rFonts w:ascii="Arial" w:eastAsia="宋体" w:hAnsi="Arial" w:cs="Times New Roman" w:hint="eastAsia"/>
                <w:color w:val="0000FF"/>
                <w:szCs w:val="21"/>
              </w:rPr>
              <w:t>家，中标供应商数量为</w:t>
            </w:r>
            <w:r>
              <w:rPr>
                <w:rFonts w:ascii="Arial" w:eastAsia="宋体" w:hAnsi="Arial" w:cs="Times New Roman" w:hint="eastAsia"/>
                <w:color w:val="0000FF"/>
                <w:sz w:val="24"/>
                <w:szCs w:val="24"/>
                <w:u w:val="single"/>
              </w:rPr>
              <w:t xml:space="preserve"> 1 </w:t>
            </w:r>
            <w:r>
              <w:rPr>
                <w:rFonts w:ascii="Arial" w:eastAsia="宋体" w:hAnsi="Arial" w:cs="Times New Roman" w:hint="eastAsia"/>
                <w:color w:val="0000FF"/>
                <w:szCs w:val="21"/>
              </w:rPr>
              <w:t>家。</w:t>
            </w:r>
          </w:p>
          <w:p>
            <w:pPr>
              <w:snapToGrid w:val="0"/>
              <w:rPr>
                <w:rFonts w:ascii="宋体" w:eastAsia="宋体" w:hAnsi="宋体" w:cs="Arial"/>
                <w:b/>
                <w:color w:val="FF0000"/>
                <w:sz w:val="28"/>
                <w:szCs w:val="28"/>
                <w:highlight w:val="green"/>
              </w:rPr>
            </w:pPr>
            <w:r>
              <w:rPr>
                <w:rFonts w:ascii="宋体" w:hAnsi="宋体" w:hint="eastAsia"/>
              </w:rPr>
              <w:t>注：（1）</w:t>
            </w:r>
            <w:r>
              <w:rPr>
                <w:rFonts w:ascii="宋体" w:hAnsi="宋体"/>
              </w:rPr>
              <w:t>如唯一候选中标供应商被认定投标或中标无效，</w:t>
            </w:r>
            <w:r>
              <w:rPr>
                <w:rFonts w:ascii="宋体" w:hAnsi="宋体" w:hint="eastAsia"/>
              </w:rPr>
              <w:t>项目</w:t>
            </w:r>
            <w:r>
              <w:rPr>
                <w:rFonts w:ascii="宋体" w:hAnsi="宋体"/>
              </w:rPr>
              <w:t>重新采购</w:t>
            </w:r>
            <w:r>
              <w:rPr>
                <w:rFonts w:ascii="宋体" w:hAnsi="宋体" w:hint="eastAsia"/>
              </w:rPr>
              <w:t>；（2）评定分离项目按综合得分排序依次确定候选中标供应商。</w:t>
            </w:r>
          </w:p>
        </w:tc>
      </w:tr>
      <w:tr>
        <w:tblPrEx>
          <w:tblW w:w="9500" w:type="dxa"/>
          <w:jc w:val="center"/>
          <w:tblLayout w:type="fixed"/>
          <w:tblCellMar>
            <w:top w:w="0" w:type="dxa"/>
            <w:left w:w="108" w:type="dxa"/>
            <w:bottom w:w="0" w:type="dxa"/>
            <w:right w:w="108" w:type="dxa"/>
          </w:tblCellMar>
        </w:tblPrEx>
        <w:trPr>
          <w:trHeight w:val="20"/>
          <w:jc w:val="center"/>
        </w:trPr>
        <w:tc>
          <w:tcPr>
            <w:tcW w:w="849" w:type="dxa"/>
            <w:vAlign w:val="center"/>
          </w:tcPr>
          <w:p>
            <w:pPr>
              <w:snapToGrid w:val="0"/>
              <w:jc w:val="center"/>
              <w:rPr>
                <w:rFonts w:ascii="宋体" w:eastAsia="宋体" w:hAnsi="宋体" w:cs="Arial"/>
                <w:szCs w:val="21"/>
              </w:rPr>
            </w:pPr>
            <w:r>
              <w:rPr>
                <w:rFonts w:ascii="宋体" w:eastAsia="宋体" w:hAnsi="宋体" w:cs="Arial" w:hint="eastAsia"/>
                <w:szCs w:val="21"/>
              </w:rPr>
              <w:t>38.3</w:t>
            </w:r>
          </w:p>
        </w:tc>
        <w:tc>
          <w:tcPr>
            <w:tcW w:w="1280" w:type="dxa"/>
            <w:vAlign w:val="center"/>
          </w:tcPr>
          <w:p>
            <w:pPr>
              <w:snapToGrid w:val="0"/>
              <w:jc w:val="center"/>
              <w:rPr>
                <w:rFonts w:ascii="宋体" w:eastAsia="宋体" w:hAnsi="宋体" w:cs="Arial"/>
                <w:szCs w:val="21"/>
              </w:rPr>
            </w:pPr>
            <w:r>
              <w:rPr>
                <w:rFonts w:ascii="宋体" w:eastAsia="宋体" w:hAnsi="宋体" w:cs="Arial" w:hint="eastAsia"/>
                <w:szCs w:val="21"/>
              </w:rPr>
              <w:t>随机抽取</w:t>
            </w:r>
          </w:p>
        </w:tc>
        <w:tc>
          <w:tcPr>
            <w:tcW w:w="7371" w:type="dxa"/>
          </w:tcPr>
          <w:p>
            <w:pPr>
              <w:snapToGrid w:val="0"/>
              <w:ind w:firstLine="420" w:firstLineChars="200"/>
              <w:rPr>
                <w:rFonts w:ascii="宋体" w:eastAsia="宋体" w:hAnsi="宋体" w:cs="Times New Roman"/>
                <w:szCs w:val="21"/>
              </w:rPr>
            </w:pPr>
            <w:r>
              <w:rPr>
                <w:rFonts w:ascii="宋体" w:eastAsia="宋体" w:hAnsi="宋体" w:cs="Times New Roman" w:hint="eastAsia"/>
                <w:szCs w:val="21"/>
              </w:rPr>
              <w:t>如投标人排名并列须采取随机抽取方式确定中标候选人（候选中标供应商）的，按“二、其他关键信息”的规则进行抽签。</w:t>
            </w:r>
          </w:p>
        </w:tc>
      </w:tr>
    </w:tbl>
    <w:p>
      <w:pPr>
        <w:widowControl/>
        <w:jc w:val="left"/>
        <w:rPr>
          <w:szCs w:val="21"/>
        </w:rPr>
      </w:pPr>
      <w:r>
        <w:rPr>
          <w:rFonts w:hint="eastAsia"/>
          <w:szCs w:val="21"/>
        </w:rPr>
        <w:t>备注：本表是通用条款相关条款的补充和明确，如与通用条款内容相冲突的，以本表为准。</w:t>
      </w:r>
      <w:r>
        <w:rPr>
          <w:rFonts w:hint="eastAsia"/>
          <w:szCs w:val="21"/>
          <w:highlight w:val="yellow"/>
        </w:rPr>
        <w:t>本项目使用深圳政府采购智慧平台进行操作，通用条款中如有与深圳政府采购智慧平台操作流程不一致的内容，请以</w:t>
      </w:r>
      <w:r>
        <w:rPr>
          <w:szCs w:val="21"/>
          <w:highlight w:val="yellow"/>
        </w:rPr>
        <w:t>zfcg.szggzy.com:8081</w:t>
      </w:r>
      <w:r>
        <w:rPr>
          <w:rFonts w:hint="eastAsia"/>
          <w:szCs w:val="21"/>
          <w:highlight w:val="yellow"/>
        </w:rPr>
        <w:t>公布的操作手册内容为准。</w:t>
      </w:r>
    </w:p>
    <w:p>
      <w:pPr>
        <w:widowControl/>
        <w:jc w:val="left"/>
        <w:rPr>
          <w:rFonts w:ascii="宋体" w:eastAsia="黑体" w:hAnsi="宋体" w:cs="Times New Roman"/>
          <w:bCs/>
          <w:kern w:val="44"/>
          <w:sz w:val="28"/>
          <w:szCs w:val="44"/>
        </w:rPr>
      </w:pPr>
    </w:p>
    <w:p>
      <w:pPr>
        <w:keepNext/>
        <w:keepLines/>
        <w:adjustRightInd w:val="0"/>
        <w:spacing w:before="156" w:beforeLines="50" w:after="156" w:afterLines="50"/>
        <w:jc w:val="center"/>
        <w:textAlignment w:val="baseline"/>
        <w:outlineLvl w:val="2"/>
        <w:rPr>
          <w:rFonts w:ascii="宋体" w:eastAsia="宋体" w:hAnsi="宋体" w:cs="Times New Roman"/>
          <w:b/>
          <w:bCs/>
          <w:kern w:val="0"/>
          <w:sz w:val="24"/>
          <w:szCs w:val="24"/>
        </w:rPr>
      </w:pPr>
      <w:r>
        <w:rPr>
          <w:rFonts w:ascii="宋体" w:eastAsia="宋体" w:hAnsi="宋体" w:cs="Times New Roman" w:hint="eastAsia"/>
          <w:b/>
          <w:bCs/>
          <w:kern w:val="0"/>
          <w:sz w:val="24"/>
          <w:szCs w:val="24"/>
        </w:rPr>
        <w:t>二、其他关键信息</w:t>
      </w:r>
    </w:p>
    <w:p>
      <w:pPr>
        <w:tabs>
          <w:tab w:val="left" w:pos="720"/>
        </w:tabs>
        <w:rPr>
          <w:rFonts w:ascii="黑体" w:eastAsia="黑体" w:hAnsi="宋体"/>
          <w:sz w:val="24"/>
        </w:rPr>
      </w:pPr>
      <w:r>
        <w:rPr>
          <w:rFonts w:ascii="黑体" w:eastAsia="黑体" w:hAnsi="宋体" w:hint="eastAsia"/>
          <w:sz w:val="24"/>
        </w:rPr>
        <w:t>（一）</w:t>
      </w:r>
      <w:r>
        <w:rPr>
          <w:rFonts w:ascii="黑体" w:eastAsia="黑体" w:hAnsi="宋体" w:hint="eastAsia"/>
          <w:bCs/>
          <w:sz w:val="24"/>
        </w:rPr>
        <w:t>与“对通用条款的补充内容”章节相关的事项</w:t>
      </w:r>
    </w:p>
    <w:p>
      <w:pPr>
        <w:tabs>
          <w:tab w:val="left" w:pos="720"/>
        </w:tabs>
        <w:rPr>
          <w:rFonts w:ascii="黑体" w:eastAsia="黑体" w:hAnsi="宋体"/>
          <w:bCs/>
          <w:sz w:val="24"/>
        </w:rPr>
      </w:pPr>
      <w:r>
        <w:rPr>
          <w:rFonts w:ascii="黑体" w:eastAsia="黑体" w:hAnsi="宋体" w:hint="eastAsia"/>
          <w:bCs/>
          <w:sz w:val="24"/>
        </w:rPr>
        <w:t>1、关于包组的定义</w:t>
      </w:r>
    </w:p>
    <w:p>
      <w:pPr>
        <w:tabs>
          <w:tab w:val="left" w:pos="720"/>
        </w:tabs>
        <w:ind w:firstLine="420" w:firstLineChars="200"/>
        <w:rPr>
          <w:rFonts w:ascii="宋体" w:hAnsi="宋体"/>
        </w:rPr>
      </w:pPr>
      <w:r>
        <w:rPr>
          <w:rFonts w:ascii="宋体" w:hAnsi="宋体" w:hint="eastAsia"/>
        </w:rPr>
        <w:t>本招标文件中的“包”是最小的“标的单位”，投标人可对本“招标文件”中所列的所有货物或服务项进行投标，投标人可只对其中一个包或几个包货物或服务内容进行投标（如有的话），但不得将一个包中的内容拆开投标，否则将导致其投标被拒绝。某一包组投标截止时投标人不足三家，或有效投标少于三家，该包组废标，对该包组重新招标或采用其它方式采购。某一包组中标供应商放弃中标资格的，或者中标供应商的中标资格被依法确认无效的，根据实际情况按相关法律规定处理，该包组中标结果改变不影响其他包组结果。</w:t>
      </w:r>
    </w:p>
    <w:p>
      <w:pPr>
        <w:spacing w:line="360" w:lineRule="exact"/>
        <w:ind w:firstLine="420" w:firstLineChars="200"/>
        <w:rPr>
          <w:rFonts w:ascii="Arial" w:eastAsia="宋体" w:hAnsi="Arial" w:cs="Times New Roman"/>
          <w:b/>
          <w:sz w:val="32"/>
          <w:szCs w:val="32"/>
        </w:rPr>
      </w:pPr>
      <w:r>
        <w:rPr>
          <w:rFonts w:ascii="Arial" w:eastAsia="宋体" w:hAnsi="Arial" w:cs="Times New Roman" w:hint="eastAsia"/>
          <w:b/>
          <w:sz w:val="32"/>
          <w:szCs w:val="32"/>
        </w:rPr>
        <w:t>本包组为</w:t>
      </w:r>
      <w:r>
        <w:rPr>
          <w:rFonts w:ascii="Arial" w:eastAsia="宋体" w:hAnsi="Arial" w:cs="Times New Roman" w:hint="eastAsia"/>
          <w:b/>
          <w:sz w:val="32"/>
          <w:szCs w:val="32"/>
          <w:highlight w:val="green"/>
        </w:rPr>
        <w:t>A</w:t>
      </w:r>
      <w:r>
        <w:rPr>
          <w:rFonts w:ascii="Arial" w:eastAsia="宋体" w:hAnsi="Arial" w:cs="Times New Roman" w:hint="eastAsia"/>
          <w:b/>
          <w:sz w:val="32"/>
          <w:szCs w:val="32"/>
        </w:rPr>
        <w:t>包，标的内容详见本文件第三章。</w:t>
      </w:r>
    </w:p>
    <w:p>
      <w:pPr>
        <w:tabs>
          <w:tab w:val="left" w:pos="720"/>
        </w:tabs>
        <w:rPr>
          <w:rFonts w:ascii="黑体" w:eastAsia="黑体" w:hAnsi="宋体"/>
          <w:sz w:val="24"/>
        </w:rPr>
      </w:pPr>
      <w:r>
        <w:rPr>
          <w:rFonts w:ascii="黑体" w:eastAsia="黑体" w:hAnsi="宋体" w:hint="eastAsia"/>
          <w:sz w:val="24"/>
        </w:rPr>
        <w:t>2、关于涉及采取随机抽取方式确定中标候选人（候选中标供应商）的规则</w:t>
      </w:r>
    </w:p>
    <w:p>
      <w:pPr>
        <w:tabs>
          <w:tab w:val="left" w:pos="720"/>
        </w:tabs>
        <w:ind w:firstLine="420" w:firstLineChars="200"/>
        <w:rPr>
          <w:rFonts w:ascii="宋体" w:hAnsi="宋体"/>
        </w:rPr>
      </w:pPr>
      <w:r>
        <w:rPr>
          <w:rFonts w:ascii="宋体" w:hAnsi="宋体" w:hint="eastAsia"/>
        </w:rPr>
        <w:t>（1）采购人代表从1-50号球中抽取一个球：抽到01-25号范围内的球，则抽签号码最小的投标人中签；抽到26-50号范围内的球，则抽签号码最大的投标人中签。各投标人按照《综合得分表》顺序依次抽签。如出现两家或以上投标人最大</w:t>
      </w:r>
      <w:r>
        <w:rPr>
          <w:rFonts w:ascii="宋体" w:hAnsi="宋体" w:hint="eastAsia"/>
          <w:szCs w:val="21"/>
        </w:rPr>
        <w:t>、小</w:t>
      </w:r>
      <w:r>
        <w:rPr>
          <w:rFonts w:ascii="宋体" w:hAnsi="宋体" w:hint="eastAsia"/>
        </w:rPr>
        <w:t>且同号的情况，则对同号的投标人重新摇签确定中签。抽签过程中遇抽签机器卡球的，被卡球方当轮重新抽签。</w:t>
      </w:r>
    </w:p>
    <w:p>
      <w:pPr>
        <w:ind w:firstLine="412" w:firstLineChars="196"/>
        <w:rPr>
          <w:rFonts w:ascii="宋体" w:hAnsi="宋体"/>
          <w:szCs w:val="21"/>
        </w:rPr>
      </w:pPr>
      <w:r>
        <w:rPr>
          <w:rFonts w:ascii="黑体" w:eastAsia="黑体" w:hAnsi="宋体" w:hint="eastAsia"/>
          <w:sz w:val="24"/>
        </w:rPr>
        <w:t>备注：</w:t>
      </w:r>
      <w:r>
        <w:rPr>
          <w:rFonts w:ascii="宋体" w:hAnsi="宋体" w:hint="eastAsia"/>
          <w:szCs w:val="21"/>
        </w:rPr>
        <w:t>（a）建议各投标供应商代表于本项目开标时间起60分钟内到达招标机构服务大厅等候抽签，如抽签程序启动时投标供应商代表未到达，该投标供应商视为自动授权本项目评审委员会代其执行抽签，投标供应商自行承担由此产生的后果。（b）各投标供应商应派法定代表人或投标文件授权的投标代理人作为代表（携带本人身份证）参与本项目抽签,如委派其他人员抽签的,须携带本人身份证、本公司（单位）法定代表人授权证明书到现场核验身份。未能按要求提供证明材料的，该投标供应商视为自动授权本项目评审委员会代其执行抽签，投标供应商自行承担由此产生的后果。</w:t>
      </w:r>
    </w:p>
    <w:p>
      <w:pPr>
        <w:tabs>
          <w:tab w:val="left" w:pos="720"/>
        </w:tabs>
        <w:ind w:firstLine="420"/>
        <w:rPr>
          <w:rFonts w:ascii="宋体" w:hAnsi="宋体"/>
          <w:szCs w:val="21"/>
        </w:rPr>
      </w:pPr>
      <w:r>
        <w:rPr>
          <w:rFonts w:ascii="宋体" w:hAnsi="宋体" w:hint="eastAsia"/>
          <w:szCs w:val="21"/>
        </w:rPr>
        <w:t>（2）评定分离项目如涉及采取抽签方式确定候选中标供应商：（a）排名第一超过三家，则排名第一的投标人中抽签号码最大、小的三家依次入围；（b）排名第一为两家，直接入围，排名第二的超过一家，则排名第二的投标人中抽签号码最大、小的一家入围；（c）排名第一为一家，直接入围，排名第二的超过两家，则排名第二的投标人中抽签号码最大、小的两家依次入围；（d）排名第一与排名第二均为一家，直接入围，排名第三的超过一家，则排名第三的投标人中抽签号码最大、小的一家入围；（e）如确定入围或依次确定入围时出现同号的投标人数量超出拟确定的候选中标供应商差额数量的，则对同号的投标人重新摇签确定入围。</w:t>
      </w:r>
    </w:p>
    <w:p>
      <w:pPr>
        <w:tabs>
          <w:tab w:val="left" w:pos="720"/>
        </w:tabs>
        <w:rPr>
          <w:rFonts w:ascii="黑体" w:eastAsia="黑体" w:hAnsi="宋体"/>
          <w:sz w:val="24"/>
        </w:rPr>
      </w:pPr>
    </w:p>
    <w:p>
      <w:pPr>
        <w:tabs>
          <w:tab w:val="left" w:pos="720"/>
        </w:tabs>
        <w:rPr>
          <w:rFonts w:ascii="黑体" w:eastAsia="黑体" w:hAnsi="宋体"/>
          <w:b/>
          <w:sz w:val="24"/>
        </w:rPr>
      </w:pPr>
      <w:r>
        <w:rPr>
          <w:rFonts w:ascii="黑体" w:eastAsia="黑体" w:hAnsi="宋体" w:hint="eastAsia"/>
          <w:sz w:val="24"/>
        </w:rPr>
        <w:t>2、中标服务费</w:t>
      </w:r>
    </w:p>
    <w:p>
      <w:pPr>
        <w:snapToGrid w:val="0"/>
        <w:ind w:firstLine="420" w:firstLineChars="200"/>
        <w:rPr>
          <w:rFonts w:ascii="宋体" w:hAnsi="宋体"/>
          <w:bCs/>
          <w:color w:val="FF0000"/>
          <w:szCs w:val="21"/>
        </w:rPr>
      </w:pPr>
      <w:r>
        <w:rPr>
          <w:rFonts w:ascii="宋体" w:hAnsi="宋体" w:hint="eastAsia"/>
          <w:color w:val="FF0000"/>
          <w:szCs w:val="21"/>
        </w:rPr>
        <w:t>中标供应商在领取《中标通知书》之前须向深圳公共资源交易中心（深圳交易集团有限公司宝安分公司）交纳</w:t>
      </w:r>
      <w:r>
        <w:rPr>
          <w:rFonts w:ascii="宋体" w:hAnsi="宋体" w:hint="eastAsia"/>
          <w:bCs/>
          <w:color w:val="FF0000"/>
          <w:szCs w:val="21"/>
        </w:rPr>
        <w:t>中标服务费</w:t>
      </w:r>
      <w:r>
        <w:rPr>
          <w:rFonts w:ascii="宋体" w:hAnsi="宋体" w:hint="eastAsia"/>
          <w:color w:val="FF0000"/>
          <w:szCs w:val="21"/>
        </w:rPr>
        <w:t>。若因中标供应商交纳</w:t>
      </w:r>
      <w:r>
        <w:rPr>
          <w:rFonts w:ascii="宋体" w:hAnsi="宋体" w:hint="eastAsia"/>
          <w:bCs/>
          <w:color w:val="FF0000"/>
          <w:szCs w:val="21"/>
        </w:rPr>
        <w:t>中标服务费</w:t>
      </w:r>
      <w:r>
        <w:rPr>
          <w:rFonts w:ascii="宋体" w:hAnsi="宋体" w:hint="eastAsia"/>
          <w:color w:val="FF0000"/>
          <w:szCs w:val="21"/>
        </w:rPr>
        <w:t>所产生的时间影响到合同签订的，由中标供应商自行承担责任。</w:t>
      </w:r>
      <w:r>
        <w:rPr>
          <w:rFonts w:ascii="宋体" w:hAnsi="宋体" w:hint="eastAsia"/>
          <w:bCs/>
          <w:color w:val="FF0000"/>
          <w:szCs w:val="21"/>
        </w:rPr>
        <w:t>中标服务费根据《深圳交易集团有限公司关于业务收费标准的通知》（深交易〔2020〕123号）标准计算，</w:t>
      </w:r>
      <w:bookmarkStart w:id="11" w:name="_Hlk61527604"/>
      <w:r>
        <w:rPr>
          <w:rFonts w:ascii="宋体" w:hAnsi="宋体" w:hint="eastAsia"/>
          <w:bCs/>
          <w:color w:val="FF0000"/>
          <w:szCs w:val="21"/>
        </w:rPr>
        <w:t>单个项目最低收费8000元。</w:t>
      </w:r>
      <w:bookmarkEnd w:id="11"/>
    </w:p>
    <w:p>
      <w:pPr>
        <w:snapToGrid w:val="0"/>
        <w:ind w:firstLine="420" w:firstLineChars="200"/>
        <w:rPr>
          <w:rFonts w:ascii="宋体" w:hAnsi="宋体"/>
          <w:bCs/>
          <w:color w:val="FF0000"/>
          <w:szCs w:val="21"/>
        </w:rPr>
      </w:pPr>
      <w:r>
        <w:rPr>
          <w:rFonts w:ascii="宋体" w:hAnsi="宋体" w:hint="eastAsia"/>
          <w:color w:val="FF0000"/>
          <w:szCs w:val="21"/>
        </w:rPr>
        <w:t>1、中标服务费</w:t>
      </w:r>
      <w:r>
        <w:rPr>
          <w:rFonts w:ascii="宋体" w:hAnsi="宋体" w:hint="eastAsia"/>
          <w:bCs/>
          <w:color w:val="FF0000"/>
          <w:szCs w:val="21"/>
        </w:rPr>
        <w:t>以《中标通知书》确定的中标金额作为计算基数，按差额定率累进法计算收取。</w:t>
      </w:r>
    </w:p>
    <w:p>
      <w:pPr>
        <w:snapToGrid w:val="0"/>
        <w:ind w:firstLine="420" w:firstLineChars="200"/>
        <w:rPr>
          <w:rFonts w:ascii="宋体" w:hAnsi="宋体"/>
          <w:bCs/>
          <w:color w:val="FF0000"/>
          <w:szCs w:val="21"/>
        </w:rPr>
      </w:pPr>
      <w:r>
        <w:rPr>
          <w:rFonts w:ascii="宋体" w:hAnsi="宋体" w:hint="eastAsia"/>
          <w:color w:val="FF0000"/>
          <w:szCs w:val="21"/>
        </w:rPr>
        <w:t>2、</w:t>
      </w:r>
      <w:r>
        <w:rPr>
          <w:rFonts w:ascii="宋体" w:hAnsi="宋体" w:hint="eastAsia"/>
          <w:bCs/>
          <w:color w:val="FF0000"/>
          <w:szCs w:val="21"/>
        </w:rPr>
        <w:t>中标金额的各部分费率如下表：</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3794"/>
        <w:gridCol w:w="1576"/>
        <w:gridCol w:w="1576"/>
        <w:gridCol w:w="15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3794" w:type="dxa"/>
            <w:vAlign w:val="center"/>
          </w:tcPr>
          <w:p>
            <w:pPr>
              <w:snapToGrid w:val="0"/>
              <w:jc w:val="center"/>
              <w:rPr>
                <w:rFonts w:ascii="宋体" w:hAnsi="宋体"/>
                <w:b/>
                <w:color w:val="FF0000"/>
                <w:szCs w:val="21"/>
              </w:rPr>
            </w:pPr>
            <w:r>
              <w:rPr>
                <w:rFonts w:ascii="宋体" w:hAnsi="宋体" w:hint="eastAsia"/>
                <w:b/>
                <w:color w:val="FF0000"/>
                <w:szCs w:val="21"/>
              </w:rPr>
              <w:t>中标金额</w:t>
            </w:r>
          </w:p>
        </w:tc>
        <w:tc>
          <w:tcPr>
            <w:tcW w:w="1576" w:type="dxa"/>
            <w:vAlign w:val="center"/>
          </w:tcPr>
          <w:p>
            <w:pPr>
              <w:snapToGrid w:val="0"/>
              <w:jc w:val="center"/>
              <w:rPr>
                <w:rFonts w:ascii="宋体" w:hAnsi="宋体"/>
                <w:b/>
                <w:color w:val="FF0000"/>
                <w:szCs w:val="21"/>
              </w:rPr>
            </w:pPr>
            <w:r>
              <w:rPr>
                <w:rFonts w:ascii="宋体" w:hAnsi="宋体" w:hint="eastAsia"/>
                <w:b/>
                <w:color w:val="FF0000"/>
                <w:szCs w:val="21"/>
              </w:rPr>
              <w:t>货物类</w:t>
            </w:r>
          </w:p>
        </w:tc>
        <w:tc>
          <w:tcPr>
            <w:tcW w:w="1576" w:type="dxa"/>
            <w:vAlign w:val="center"/>
          </w:tcPr>
          <w:p>
            <w:pPr>
              <w:snapToGrid w:val="0"/>
              <w:jc w:val="center"/>
              <w:rPr>
                <w:rFonts w:ascii="宋体" w:hAnsi="宋体"/>
                <w:b/>
                <w:color w:val="FF0000"/>
                <w:szCs w:val="21"/>
              </w:rPr>
            </w:pPr>
            <w:r>
              <w:rPr>
                <w:rFonts w:ascii="宋体" w:hAnsi="宋体" w:hint="eastAsia"/>
                <w:b/>
                <w:color w:val="FF0000"/>
                <w:szCs w:val="21"/>
              </w:rPr>
              <w:t>服务类</w:t>
            </w:r>
          </w:p>
        </w:tc>
        <w:tc>
          <w:tcPr>
            <w:tcW w:w="1576" w:type="dxa"/>
            <w:vAlign w:val="center"/>
          </w:tcPr>
          <w:p>
            <w:pPr>
              <w:snapToGrid w:val="0"/>
              <w:jc w:val="center"/>
              <w:rPr>
                <w:rFonts w:ascii="宋体" w:hAnsi="宋体"/>
                <w:b/>
                <w:color w:val="FF0000"/>
                <w:szCs w:val="21"/>
              </w:rPr>
            </w:pPr>
            <w:r>
              <w:rPr>
                <w:rFonts w:ascii="宋体" w:hAnsi="宋体" w:hint="eastAsia"/>
                <w:b/>
                <w:color w:val="FF0000"/>
                <w:szCs w:val="21"/>
              </w:rPr>
              <w:t>工程类</w:t>
            </w:r>
          </w:p>
        </w:tc>
      </w:tr>
      <w:tr>
        <w:tblPrEx>
          <w:tblW w:w="0" w:type="auto"/>
          <w:tblInd w:w="0" w:type="dxa"/>
          <w:tblCellMar>
            <w:top w:w="0" w:type="dxa"/>
            <w:left w:w="108" w:type="dxa"/>
            <w:bottom w:w="0" w:type="dxa"/>
            <w:right w:w="108" w:type="dxa"/>
          </w:tblCellMar>
        </w:tblPrEx>
        <w:tc>
          <w:tcPr>
            <w:tcW w:w="3794" w:type="dxa"/>
            <w:vAlign w:val="center"/>
          </w:tcPr>
          <w:p>
            <w:pPr>
              <w:snapToGrid w:val="0"/>
              <w:jc w:val="left"/>
              <w:rPr>
                <w:rFonts w:ascii="宋体" w:hAnsi="宋体"/>
                <w:color w:val="FF0000"/>
                <w:szCs w:val="21"/>
              </w:rPr>
            </w:pPr>
            <w:r>
              <w:rPr>
                <w:rFonts w:ascii="宋体" w:hAnsi="宋体" w:hint="eastAsia"/>
                <w:color w:val="FF0000"/>
                <w:szCs w:val="21"/>
              </w:rPr>
              <w:t>100 万元以下</w:t>
            </w:r>
          </w:p>
        </w:tc>
        <w:tc>
          <w:tcPr>
            <w:tcW w:w="1576" w:type="dxa"/>
          </w:tcPr>
          <w:p>
            <w:pPr>
              <w:snapToGrid w:val="0"/>
              <w:jc w:val="center"/>
              <w:rPr>
                <w:rFonts w:ascii="宋体" w:hAnsi="宋体"/>
                <w:color w:val="FF0000"/>
                <w:szCs w:val="21"/>
              </w:rPr>
            </w:pPr>
            <w:r>
              <w:rPr>
                <w:rFonts w:ascii="宋体" w:hAnsi="宋体"/>
                <w:color w:val="FF0000"/>
                <w:szCs w:val="21"/>
              </w:rPr>
              <w:t>1.5%</w:t>
            </w:r>
          </w:p>
        </w:tc>
        <w:tc>
          <w:tcPr>
            <w:tcW w:w="1576" w:type="dxa"/>
          </w:tcPr>
          <w:p>
            <w:pPr>
              <w:snapToGrid w:val="0"/>
              <w:jc w:val="center"/>
              <w:rPr>
                <w:rFonts w:ascii="宋体" w:hAnsi="宋体"/>
                <w:color w:val="FF0000"/>
                <w:szCs w:val="21"/>
              </w:rPr>
            </w:pPr>
            <w:r>
              <w:rPr>
                <w:rFonts w:ascii="宋体" w:hAnsi="宋体"/>
                <w:color w:val="FF0000"/>
                <w:szCs w:val="21"/>
              </w:rPr>
              <w:t>1.5%</w:t>
            </w:r>
          </w:p>
        </w:tc>
        <w:tc>
          <w:tcPr>
            <w:tcW w:w="1576" w:type="dxa"/>
          </w:tcPr>
          <w:p>
            <w:pPr>
              <w:snapToGrid w:val="0"/>
              <w:jc w:val="center"/>
              <w:rPr>
                <w:rFonts w:ascii="宋体" w:hAnsi="宋体"/>
                <w:color w:val="FF0000"/>
                <w:szCs w:val="21"/>
              </w:rPr>
            </w:pPr>
            <w:r>
              <w:rPr>
                <w:rFonts w:ascii="宋体" w:hAnsi="宋体"/>
                <w:color w:val="FF0000"/>
                <w:szCs w:val="21"/>
              </w:rPr>
              <w:t>1%</w:t>
            </w:r>
          </w:p>
        </w:tc>
      </w:tr>
      <w:tr>
        <w:tblPrEx>
          <w:tblW w:w="0" w:type="auto"/>
          <w:tblInd w:w="0" w:type="dxa"/>
          <w:tblCellMar>
            <w:top w:w="0" w:type="dxa"/>
            <w:left w:w="108" w:type="dxa"/>
            <w:bottom w:w="0" w:type="dxa"/>
            <w:right w:w="108" w:type="dxa"/>
          </w:tblCellMar>
        </w:tblPrEx>
        <w:tc>
          <w:tcPr>
            <w:tcW w:w="3794" w:type="dxa"/>
            <w:vAlign w:val="center"/>
          </w:tcPr>
          <w:p>
            <w:pPr>
              <w:snapToGrid w:val="0"/>
              <w:jc w:val="left"/>
              <w:rPr>
                <w:rFonts w:ascii="宋体" w:hAnsi="宋体"/>
                <w:color w:val="FF0000"/>
                <w:szCs w:val="21"/>
              </w:rPr>
            </w:pPr>
            <w:r>
              <w:rPr>
                <w:rFonts w:ascii="宋体" w:hAnsi="宋体" w:hint="eastAsia"/>
                <w:color w:val="FF0000"/>
                <w:szCs w:val="21"/>
              </w:rPr>
              <w:t>100 万元（含）-500 万元</w:t>
            </w:r>
          </w:p>
        </w:tc>
        <w:tc>
          <w:tcPr>
            <w:tcW w:w="1576" w:type="dxa"/>
          </w:tcPr>
          <w:p>
            <w:pPr>
              <w:snapToGrid w:val="0"/>
              <w:jc w:val="center"/>
              <w:rPr>
                <w:rFonts w:ascii="宋体" w:hAnsi="宋体"/>
                <w:color w:val="FF0000"/>
                <w:szCs w:val="21"/>
              </w:rPr>
            </w:pPr>
            <w:r>
              <w:rPr>
                <w:rFonts w:ascii="宋体" w:hAnsi="宋体"/>
                <w:color w:val="FF0000"/>
                <w:szCs w:val="21"/>
              </w:rPr>
              <w:t>1.1%</w:t>
            </w:r>
          </w:p>
        </w:tc>
        <w:tc>
          <w:tcPr>
            <w:tcW w:w="1576" w:type="dxa"/>
          </w:tcPr>
          <w:p>
            <w:pPr>
              <w:snapToGrid w:val="0"/>
              <w:jc w:val="center"/>
              <w:rPr>
                <w:rFonts w:ascii="宋体" w:hAnsi="宋体"/>
                <w:color w:val="FF0000"/>
                <w:szCs w:val="21"/>
              </w:rPr>
            </w:pPr>
            <w:r>
              <w:rPr>
                <w:rFonts w:ascii="宋体" w:hAnsi="宋体"/>
                <w:color w:val="FF0000"/>
                <w:szCs w:val="21"/>
              </w:rPr>
              <w:t>0.8%</w:t>
            </w:r>
          </w:p>
        </w:tc>
        <w:tc>
          <w:tcPr>
            <w:tcW w:w="1576" w:type="dxa"/>
          </w:tcPr>
          <w:p>
            <w:pPr>
              <w:snapToGrid w:val="0"/>
              <w:jc w:val="center"/>
              <w:rPr>
                <w:rFonts w:ascii="宋体" w:hAnsi="宋体"/>
                <w:color w:val="FF0000"/>
                <w:szCs w:val="21"/>
              </w:rPr>
            </w:pPr>
            <w:r>
              <w:rPr>
                <w:rFonts w:ascii="宋体" w:hAnsi="宋体"/>
                <w:color w:val="FF0000"/>
                <w:szCs w:val="21"/>
              </w:rPr>
              <w:t>0.7%</w:t>
            </w:r>
          </w:p>
        </w:tc>
      </w:tr>
      <w:tr>
        <w:tblPrEx>
          <w:tblW w:w="0" w:type="auto"/>
          <w:tblInd w:w="0" w:type="dxa"/>
          <w:tblCellMar>
            <w:top w:w="0" w:type="dxa"/>
            <w:left w:w="108" w:type="dxa"/>
            <w:bottom w:w="0" w:type="dxa"/>
            <w:right w:w="108" w:type="dxa"/>
          </w:tblCellMar>
        </w:tblPrEx>
        <w:tc>
          <w:tcPr>
            <w:tcW w:w="3794" w:type="dxa"/>
            <w:vAlign w:val="center"/>
          </w:tcPr>
          <w:p>
            <w:pPr>
              <w:snapToGrid w:val="0"/>
              <w:jc w:val="left"/>
              <w:rPr>
                <w:rFonts w:ascii="宋体" w:hAnsi="宋体"/>
                <w:color w:val="FF0000"/>
                <w:szCs w:val="21"/>
              </w:rPr>
            </w:pPr>
            <w:r>
              <w:rPr>
                <w:rFonts w:ascii="宋体" w:hAnsi="宋体" w:hint="eastAsia"/>
                <w:color w:val="FF0000"/>
                <w:szCs w:val="21"/>
              </w:rPr>
              <w:t>500 万元（含）-1000 万元</w:t>
            </w:r>
          </w:p>
        </w:tc>
        <w:tc>
          <w:tcPr>
            <w:tcW w:w="1576" w:type="dxa"/>
          </w:tcPr>
          <w:p>
            <w:pPr>
              <w:snapToGrid w:val="0"/>
              <w:jc w:val="center"/>
              <w:rPr>
                <w:rFonts w:ascii="宋体" w:hAnsi="宋体"/>
                <w:color w:val="FF0000"/>
                <w:szCs w:val="21"/>
              </w:rPr>
            </w:pPr>
            <w:r>
              <w:rPr>
                <w:rFonts w:ascii="宋体" w:hAnsi="宋体"/>
                <w:color w:val="FF0000"/>
                <w:szCs w:val="21"/>
              </w:rPr>
              <w:t>0.8%</w:t>
            </w:r>
          </w:p>
        </w:tc>
        <w:tc>
          <w:tcPr>
            <w:tcW w:w="1576" w:type="dxa"/>
          </w:tcPr>
          <w:p>
            <w:pPr>
              <w:snapToGrid w:val="0"/>
              <w:jc w:val="center"/>
              <w:rPr>
                <w:rFonts w:ascii="宋体" w:hAnsi="宋体"/>
                <w:color w:val="FF0000"/>
                <w:szCs w:val="21"/>
              </w:rPr>
            </w:pPr>
            <w:r>
              <w:rPr>
                <w:rFonts w:ascii="宋体" w:hAnsi="宋体"/>
                <w:color w:val="FF0000"/>
                <w:szCs w:val="21"/>
              </w:rPr>
              <w:t>0.45%</w:t>
            </w:r>
          </w:p>
        </w:tc>
        <w:tc>
          <w:tcPr>
            <w:tcW w:w="1576" w:type="dxa"/>
          </w:tcPr>
          <w:p>
            <w:pPr>
              <w:snapToGrid w:val="0"/>
              <w:jc w:val="center"/>
              <w:rPr>
                <w:rFonts w:ascii="宋体" w:hAnsi="宋体"/>
                <w:color w:val="FF0000"/>
                <w:szCs w:val="21"/>
              </w:rPr>
            </w:pPr>
            <w:r>
              <w:rPr>
                <w:rFonts w:ascii="宋体" w:hAnsi="宋体"/>
                <w:color w:val="FF0000"/>
                <w:szCs w:val="21"/>
              </w:rPr>
              <w:t>0.55%</w:t>
            </w:r>
          </w:p>
        </w:tc>
      </w:tr>
      <w:tr>
        <w:tblPrEx>
          <w:tblW w:w="0" w:type="auto"/>
          <w:tblInd w:w="0" w:type="dxa"/>
          <w:tblCellMar>
            <w:top w:w="0" w:type="dxa"/>
            <w:left w:w="108" w:type="dxa"/>
            <w:bottom w:w="0" w:type="dxa"/>
            <w:right w:w="108" w:type="dxa"/>
          </w:tblCellMar>
        </w:tblPrEx>
        <w:tc>
          <w:tcPr>
            <w:tcW w:w="3794" w:type="dxa"/>
            <w:vAlign w:val="center"/>
          </w:tcPr>
          <w:p>
            <w:pPr>
              <w:snapToGrid w:val="0"/>
              <w:jc w:val="left"/>
              <w:rPr>
                <w:rFonts w:ascii="宋体" w:hAnsi="宋体"/>
                <w:color w:val="FF0000"/>
                <w:szCs w:val="21"/>
              </w:rPr>
            </w:pPr>
            <w:r>
              <w:rPr>
                <w:rFonts w:ascii="宋体" w:hAnsi="宋体" w:hint="eastAsia"/>
                <w:color w:val="FF0000"/>
                <w:szCs w:val="21"/>
              </w:rPr>
              <w:t>1000 万元（含）-5000 万元</w:t>
            </w:r>
          </w:p>
        </w:tc>
        <w:tc>
          <w:tcPr>
            <w:tcW w:w="1576" w:type="dxa"/>
          </w:tcPr>
          <w:p>
            <w:pPr>
              <w:snapToGrid w:val="0"/>
              <w:jc w:val="center"/>
              <w:rPr>
                <w:rFonts w:ascii="宋体" w:hAnsi="宋体"/>
                <w:color w:val="FF0000"/>
                <w:szCs w:val="21"/>
              </w:rPr>
            </w:pPr>
            <w:r>
              <w:rPr>
                <w:rFonts w:ascii="宋体" w:hAnsi="宋体"/>
                <w:color w:val="FF0000"/>
                <w:szCs w:val="21"/>
              </w:rPr>
              <w:t>0.5%</w:t>
            </w:r>
          </w:p>
        </w:tc>
        <w:tc>
          <w:tcPr>
            <w:tcW w:w="1576" w:type="dxa"/>
          </w:tcPr>
          <w:p>
            <w:pPr>
              <w:snapToGrid w:val="0"/>
              <w:jc w:val="center"/>
              <w:rPr>
                <w:rFonts w:ascii="宋体" w:hAnsi="宋体"/>
                <w:color w:val="FF0000"/>
                <w:szCs w:val="21"/>
              </w:rPr>
            </w:pPr>
            <w:r>
              <w:rPr>
                <w:rFonts w:ascii="宋体" w:hAnsi="宋体"/>
                <w:color w:val="FF0000"/>
                <w:szCs w:val="21"/>
              </w:rPr>
              <w:t>0.25%</w:t>
            </w:r>
          </w:p>
        </w:tc>
        <w:tc>
          <w:tcPr>
            <w:tcW w:w="1576" w:type="dxa"/>
          </w:tcPr>
          <w:p>
            <w:pPr>
              <w:snapToGrid w:val="0"/>
              <w:jc w:val="center"/>
              <w:rPr>
                <w:rFonts w:ascii="宋体" w:hAnsi="宋体"/>
                <w:color w:val="FF0000"/>
                <w:szCs w:val="21"/>
              </w:rPr>
            </w:pPr>
            <w:r>
              <w:rPr>
                <w:rFonts w:ascii="宋体" w:hAnsi="宋体"/>
                <w:color w:val="FF0000"/>
                <w:szCs w:val="21"/>
              </w:rPr>
              <w:t>0.35%</w:t>
            </w:r>
          </w:p>
        </w:tc>
      </w:tr>
      <w:tr>
        <w:tblPrEx>
          <w:tblW w:w="0" w:type="auto"/>
          <w:tblInd w:w="0" w:type="dxa"/>
          <w:tblCellMar>
            <w:top w:w="0" w:type="dxa"/>
            <w:left w:w="108" w:type="dxa"/>
            <w:bottom w:w="0" w:type="dxa"/>
            <w:right w:w="108" w:type="dxa"/>
          </w:tblCellMar>
        </w:tblPrEx>
        <w:tc>
          <w:tcPr>
            <w:tcW w:w="3794" w:type="dxa"/>
            <w:vAlign w:val="center"/>
          </w:tcPr>
          <w:p>
            <w:pPr>
              <w:snapToGrid w:val="0"/>
              <w:jc w:val="left"/>
              <w:rPr>
                <w:rFonts w:ascii="宋体" w:hAnsi="宋体"/>
                <w:color w:val="FF0000"/>
                <w:szCs w:val="21"/>
              </w:rPr>
            </w:pPr>
            <w:r>
              <w:rPr>
                <w:rFonts w:ascii="宋体" w:hAnsi="宋体" w:hint="eastAsia"/>
                <w:color w:val="FF0000"/>
                <w:szCs w:val="21"/>
              </w:rPr>
              <w:t>5000 万元（含）-1 亿元</w:t>
            </w:r>
          </w:p>
        </w:tc>
        <w:tc>
          <w:tcPr>
            <w:tcW w:w="1576" w:type="dxa"/>
          </w:tcPr>
          <w:p>
            <w:pPr>
              <w:snapToGrid w:val="0"/>
              <w:jc w:val="center"/>
              <w:rPr>
                <w:rFonts w:ascii="宋体" w:hAnsi="宋体"/>
                <w:color w:val="FF0000"/>
                <w:szCs w:val="21"/>
              </w:rPr>
            </w:pPr>
            <w:r>
              <w:rPr>
                <w:rFonts w:ascii="宋体" w:hAnsi="宋体"/>
                <w:color w:val="FF0000"/>
                <w:szCs w:val="21"/>
              </w:rPr>
              <w:t>0.25%</w:t>
            </w:r>
          </w:p>
        </w:tc>
        <w:tc>
          <w:tcPr>
            <w:tcW w:w="1576" w:type="dxa"/>
          </w:tcPr>
          <w:p>
            <w:pPr>
              <w:snapToGrid w:val="0"/>
              <w:jc w:val="center"/>
              <w:rPr>
                <w:rFonts w:ascii="宋体" w:hAnsi="宋体"/>
                <w:color w:val="FF0000"/>
                <w:szCs w:val="21"/>
              </w:rPr>
            </w:pPr>
            <w:r>
              <w:rPr>
                <w:rFonts w:ascii="宋体" w:hAnsi="宋体"/>
                <w:color w:val="FF0000"/>
                <w:szCs w:val="21"/>
              </w:rPr>
              <w:t>0.1%</w:t>
            </w:r>
          </w:p>
        </w:tc>
        <w:tc>
          <w:tcPr>
            <w:tcW w:w="1576" w:type="dxa"/>
          </w:tcPr>
          <w:p>
            <w:pPr>
              <w:snapToGrid w:val="0"/>
              <w:jc w:val="center"/>
              <w:rPr>
                <w:rFonts w:ascii="宋体" w:hAnsi="宋体"/>
                <w:color w:val="FF0000"/>
                <w:szCs w:val="21"/>
              </w:rPr>
            </w:pPr>
            <w:r>
              <w:rPr>
                <w:rFonts w:ascii="宋体" w:hAnsi="宋体"/>
                <w:color w:val="FF0000"/>
                <w:szCs w:val="21"/>
              </w:rPr>
              <w:t>0.2%</w:t>
            </w:r>
          </w:p>
        </w:tc>
      </w:tr>
      <w:tr>
        <w:tblPrEx>
          <w:tblW w:w="0" w:type="auto"/>
          <w:tblInd w:w="0" w:type="dxa"/>
          <w:tblCellMar>
            <w:top w:w="0" w:type="dxa"/>
            <w:left w:w="108" w:type="dxa"/>
            <w:bottom w:w="0" w:type="dxa"/>
            <w:right w:w="108" w:type="dxa"/>
          </w:tblCellMar>
        </w:tblPrEx>
        <w:tc>
          <w:tcPr>
            <w:tcW w:w="3794" w:type="dxa"/>
            <w:vAlign w:val="center"/>
          </w:tcPr>
          <w:p>
            <w:pPr>
              <w:snapToGrid w:val="0"/>
              <w:jc w:val="left"/>
              <w:rPr>
                <w:rFonts w:ascii="宋体" w:hAnsi="宋体"/>
                <w:color w:val="FF0000"/>
                <w:szCs w:val="21"/>
              </w:rPr>
            </w:pPr>
            <w:r>
              <w:rPr>
                <w:rFonts w:ascii="宋体" w:hAnsi="宋体" w:hint="eastAsia"/>
                <w:color w:val="FF0000"/>
                <w:szCs w:val="21"/>
              </w:rPr>
              <w:t>1 亿元（含）-5 亿元</w:t>
            </w:r>
          </w:p>
        </w:tc>
        <w:tc>
          <w:tcPr>
            <w:tcW w:w="1576" w:type="dxa"/>
          </w:tcPr>
          <w:p>
            <w:pPr>
              <w:snapToGrid w:val="0"/>
              <w:jc w:val="center"/>
              <w:rPr>
                <w:rFonts w:ascii="宋体" w:hAnsi="宋体"/>
                <w:color w:val="FF0000"/>
                <w:szCs w:val="21"/>
              </w:rPr>
            </w:pPr>
            <w:r>
              <w:rPr>
                <w:rFonts w:ascii="宋体" w:hAnsi="宋体"/>
                <w:color w:val="FF0000"/>
                <w:szCs w:val="21"/>
              </w:rPr>
              <w:t>0.05%</w:t>
            </w:r>
          </w:p>
        </w:tc>
        <w:tc>
          <w:tcPr>
            <w:tcW w:w="1576" w:type="dxa"/>
          </w:tcPr>
          <w:p>
            <w:pPr>
              <w:snapToGrid w:val="0"/>
              <w:jc w:val="center"/>
              <w:rPr>
                <w:rFonts w:ascii="宋体" w:hAnsi="宋体"/>
                <w:color w:val="FF0000"/>
                <w:szCs w:val="21"/>
              </w:rPr>
            </w:pPr>
            <w:r>
              <w:rPr>
                <w:rFonts w:ascii="宋体" w:hAnsi="宋体"/>
                <w:color w:val="FF0000"/>
                <w:szCs w:val="21"/>
              </w:rPr>
              <w:t>0.05%</w:t>
            </w:r>
          </w:p>
        </w:tc>
        <w:tc>
          <w:tcPr>
            <w:tcW w:w="1576" w:type="dxa"/>
          </w:tcPr>
          <w:p>
            <w:pPr>
              <w:snapToGrid w:val="0"/>
              <w:jc w:val="center"/>
              <w:rPr>
                <w:rFonts w:ascii="宋体" w:hAnsi="宋体"/>
                <w:color w:val="FF0000"/>
                <w:szCs w:val="21"/>
              </w:rPr>
            </w:pPr>
            <w:r>
              <w:rPr>
                <w:rFonts w:ascii="宋体" w:hAnsi="宋体"/>
                <w:color w:val="FF0000"/>
                <w:szCs w:val="21"/>
              </w:rPr>
              <w:t>0.05%</w:t>
            </w:r>
          </w:p>
        </w:tc>
      </w:tr>
      <w:tr>
        <w:tblPrEx>
          <w:tblW w:w="0" w:type="auto"/>
          <w:tblInd w:w="0" w:type="dxa"/>
          <w:tblCellMar>
            <w:top w:w="0" w:type="dxa"/>
            <w:left w:w="108" w:type="dxa"/>
            <w:bottom w:w="0" w:type="dxa"/>
            <w:right w:w="108" w:type="dxa"/>
          </w:tblCellMar>
        </w:tblPrEx>
        <w:tc>
          <w:tcPr>
            <w:tcW w:w="3794" w:type="dxa"/>
            <w:vAlign w:val="center"/>
          </w:tcPr>
          <w:p>
            <w:pPr>
              <w:snapToGrid w:val="0"/>
              <w:jc w:val="left"/>
              <w:rPr>
                <w:rFonts w:ascii="宋体" w:hAnsi="宋体"/>
                <w:color w:val="FF0000"/>
                <w:szCs w:val="21"/>
              </w:rPr>
            </w:pPr>
            <w:r>
              <w:rPr>
                <w:rFonts w:ascii="宋体" w:hAnsi="宋体" w:hint="eastAsia"/>
                <w:color w:val="FF0000"/>
                <w:szCs w:val="21"/>
              </w:rPr>
              <w:t>5 亿元（含）-10 亿元</w:t>
            </w:r>
          </w:p>
        </w:tc>
        <w:tc>
          <w:tcPr>
            <w:tcW w:w="1576" w:type="dxa"/>
          </w:tcPr>
          <w:p>
            <w:pPr>
              <w:snapToGrid w:val="0"/>
              <w:jc w:val="center"/>
              <w:rPr>
                <w:rFonts w:ascii="宋体" w:hAnsi="宋体"/>
                <w:color w:val="FF0000"/>
                <w:szCs w:val="21"/>
              </w:rPr>
            </w:pPr>
            <w:r>
              <w:rPr>
                <w:rFonts w:ascii="宋体" w:hAnsi="宋体"/>
                <w:color w:val="FF0000"/>
                <w:szCs w:val="21"/>
              </w:rPr>
              <w:t>0.035%</w:t>
            </w:r>
          </w:p>
        </w:tc>
        <w:tc>
          <w:tcPr>
            <w:tcW w:w="1576" w:type="dxa"/>
          </w:tcPr>
          <w:p>
            <w:pPr>
              <w:snapToGrid w:val="0"/>
              <w:jc w:val="center"/>
              <w:rPr>
                <w:rFonts w:ascii="宋体" w:hAnsi="宋体"/>
                <w:color w:val="FF0000"/>
                <w:szCs w:val="21"/>
              </w:rPr>
            </w:pPr>
            <w:r>
              <w:rPr>
                <w:rFonts w:ascii="宋体" w:hAnsi="宋体"/>
                <w:color w:val="FF0000"/>
                <w:szCs w:val="21"/>
              </w:rPr>
              <w:t>0.035%</w:t>
            </w:r>
          </w:p>
        </w:tc>
        <w:tc>
          <w:tcPr>
            <w:tcW w:w="1576" w:type="dxa"/>
          </w:tcPr>
          <w:p>
            <w:pPr>
              <w:snapToGrid w:val="0"/>
              <w:jc w:val="center"/>
              <w:rPr>
                <w:rFonts w:ascii="宋体" w:hAnsi="宋体"/>
                <w:color w:val="FF0000"/>
                <w:szCs w:val="21"/>
              </w:rPr>
            </w:pPr>
            <w:r>
              <w:rPr>
                <w:rFonts w:ascii="宋体" w:hAnsi="宋体"/>
                <w:color w:val="FF0000"/>
                <w:szCs w:val="21"/>
              </w:rPr>
              <w:t>0.035%</w:t>
            </w:r>
          </w:p>
        </w:tc>
      </w:tr>
      <w:tr>
        <w:tblPrEx>
          <w:tblW w:w="0" w:type="auto"/>
          <w:tblInd w:w="0" w:type="dxa"/>
          <w:tblCellMar>
            <w:top w:w="0" w:type="dxa"/>
            <w:left w:w="108" w:type="dxa"/>
            <w:bottom w:w="0" w:type="dxa"/>
            <w:right w:w="108" w:type="dxa"/>
          </w:tblCellMar>
        </w:tblPrEx>
        <w:tc>
          <w:tcPr>
            <w:tcW w:w="3794" w:type="dxa"/>
            <w:vAlign w:val="center"/>
          </w:tcPr>
          <w:p>
            <w:pPr>
              <w:snapToGrid w:val="0"/>
              <w:jc w:val="left"/>
              <w:rPr>
                <w:rFonts w:ascii="宋体" w:hAnsi="宋体"/>
                <w:color w:val="FF0000"/>
                <w:szCs w:val="21"/>
              </w:rPr>
            </w:pPr>
            <w:r>
              <w:rPr>
                <w:rFonts w:ascii="宋体" w:hAnsi="宋体" w:hint="eastAsia"/>
                <w:color w:val="FF0000"/>
                <w:szCs w:val="21"/>
              </w:rPr>
              <w:t>10 亿元（含）-50 亿元</w:t>
            </w:r>
          </w:p>
        </w:tc>
        <w:tc>
          <w:tcPr>
            <w:tcW w:w="1576" w:type="dxa"/>
          </w:tcPr>
          <w:p>
            <w:pPr>
              <w:snapToGrid w:val="0"/>
              <w:jc w:val="center"/>
              <w:rPr>
                <w:rFonts w:ascii="宋体" w:hAnsi="宋体"/>
                <w:color w:val="FF0000"/>
                <w:szCs w:val="21"/>
              </w:rPr>
            </w:pPr>
            <w:r>
              <w:rPr>
                <w:rFonts w:ascii="宋体" w:hAnsi="宋体"/>
                <w:color w:val="FF0000"/>
                <w:szCs w:val="21"/>
              </w:rPr>
              <w:t>0.008%</w:t>
            </w:r>
          </w:p>
        </w:tc>
        <w:tc>
          <w:tcPr>
            <w:tcW w:w="1576" w:type="dxa"/>
          </w:tcPr>
          <w:p>
            <w:pPr>
              <w:snapToGrid w:val="0"/>
              <w:jc w:val="center"/>
              <w:rPr>
                <w:rFonts w:ascii="宋体" w:hAnsi="宋体"/>
                <w:color w:val="FF0000"/>
                <w:szCs w:val="21"/>
              </w:rPr>
            </w:pPr>
            <w:r>
              <w:rPr>
                <w:rFonts w:ascii="宋体" w:hAnsi="宋体"/>
                <w:color w:val="FF0000"/>
                <w:szCs w:val="21"/>
              </w:rPr>
              <w:t>0.008%</w:t>
            </w:r>
          </w:p>
        </w:tc>
        <w:tc>
          <w:tcPr>
            <w:tcW w:w="1576" w:type="dxa"/>
          </w:tcPr>
          <w:p>
            <w:pPr>
              <w:snapToGrid w:val="0"/>
              <w:jc w:val="center"/>
              <w:rPr>
                <w:rFonts w:ascii="宋体" w:hAnsi="宋体"/>
                <w:color w:val="FF0000"/>
                <w:szCs w:val="21"/>
              </w:rPr>
            </w:pPr>
            <w:r>
              <w:rPr>
                <w:rFonts w:ascii="宋体" w:hAnsi="宋体"/>
                <w:color w:val="FF0000"/>
                <w:szCs w:val="21"/>
              </w:rPr>
              <w:t>0.008%</w:t>
            </w:r>
          </w:p>
        </w:tc>
      </w:tr>
      <w:tr>
        <w:tblPrEx>
          <w:tblW w:w="0" w:type="auto"/>
          <w:tblInd w:w="0" w:type="dxa"/>
          <w:tblCellMar>
            <w:top w:w="0" w:type="dxa"/>
            <w:left w:w="108" w:type="dxa"/>
            <w:bottom w:w="0" w:type="dxa"/>
            <w:right w:w="108" w:type="dxa"/>
          </w:tblCellMar>
        </w:tblPrEx>
        <w:tc>
          <w:tcPr>
            <w:tcW w:w="3794" w:type="dxa"/>
            <w:vAlign w:val="center"/>
          </w:tcPr>
          <w:p>
            <w:pPr>
              <w:snapToGrid w:val="0"/>
              <w:jc w:val="left"/>
              <w:rPr>
                <w:rFonts w:ascii="宋体" w:hAnsi="宋体"/>
                <w:color w:val="FF0000"/>
                <w:szCs w:val="21"/>
              </w:rPr>
            </w:pPr>
            <w:r>
              <w:rPr>
                <w:rFonts w:ascii="宋体" w:hAnsi="宋体" w:hint="eastAsia"/>
                <w:color w:val="FF0000"/>
                <w:szCs w:val="21"/>
              </w:rPr>
              <w:t>50 亿元（含）-100 亿元</w:t>
            </w:r>
          </w:p>
        </w:tc>
        <w:tc>
          <w:tcPr>
            <w:tcW w:w="1576" w:type="dxa"/>
          </w:tcPr>
          <w:p>
            <w:pPr>
              <w:snapToGrid w:val="0"/>
              <w:jc w:val="center"/>
              <w:rPr>
                <w:rFonts w:ascii="宋体" w:hAnsi="宋体"/>
                <w:color w:val="FF0000"/>
                <w:szCs w:val="21"/>
              </w:rPr>
            </w:pPr>
            <w:r>
              <w:rPr>
                <w:rFonts w:ascii="宋体" w:hAnsi="宋体"/>
                <w:color w:val="FF0000"/>
                <w:szCs w:val="21"/>
              </w:rPr>
              <w:t>0.006%</w:t>
            </w:r>
          </w:p>
        </w:tc>
        <w:tc>
          <w:tcPr>
            <w:tcW w:w="1576" w:type="dxa"/>
          </w:tcPr>
          <w:p>
            <w:pPr>
              <w:snapToGrid w:val="0"/>
              <w:jc w:val="center"/>
              <w:rPr>
                <w:rFonts w:ascii="宋体" w:hAnsi="宋体"/>
                <w:color w:val="FF0000"/>
                <w:szCs w:val="21"/>
              </w:rPr>
            </w:pPr>
            <w:r>
              <w:rPr>
                <w:rFonts w:ascii="宋体" w:hAnsi="宋体"/>
                <w:color w:val="FF0000"/>
                <w:szCs w:val="21"/>
              </w:rPr>
              <w:t>0.006%</w:t>
            </w:r>
          </w:p>
        </w:tc>
        <w:tc>
          <w:tcPr>
            <w:tcW w:w="1576" w:type="dxa"/>
          </w:tcPr>
          <w:p>
            <w:pPr>
              <w:snapToGrid w:val="0"/>
              <w:jc w:val="center"/>
              <w:rPr>
                <w:rFonts w:ascii="宋体" w:hAnsi="宋体"/>
                <w:color w:val="FF0000"/>
                <w:szCs w:val="21"/>
              </w:rPr>
            </w:pPr>
            <w:r>
              <w:rPr>
                <w:rFonts w:ascii="宋体" w:hAnsi="宋体"/>
                <w:color w:val="FF0000"/>
                <w:szCs w:val="21"/>
              </w:rPr>
              <w:t>0.006%</w:t>
            </w:r>
          </w:p>
        </w:tc>
      </w:tr>
      <w:tr>
        <w:tblPrEx>
          <w:tblW w:w="0" w:type="auto"/>
          <w:tblInd w:w="0" w:type="dxa"/>
          <w:tblCellMar>
            <w:top w:w="0" w:type="dxa"/>
            <w:left w:w="108" w:type="dxa"/>
            <w:bottom w:w="0" w:type="dxa"/>
            <w:right w:w="108" w:type="dxa"/>
          </w:tblCellMar>
        </w:tblPrEx>
        <w:tc>
          <w:tcPr>
            <w:tcW w:w="3794" w:type="dxa"/>
            <w:vAlign w:val="center"/>
          </w:tcPr>
          <w:p>
            <w:pPr>
              <w:snapToGrid w:val="0"/>
              <w:jc w:val="left"/>
              <w:rPr>
                <w:rFonts w:ascii="宋体" w:hAnsi="宋体"/>
                <w:color w:val="FF0000"/>
                <w:szCs w:val="21"/>
              </w:rPr>
            </w:pPr>
            <w:r>
              <w:rPr>
                <w:rFonts w:ascii="宋体" w:hAnsi="宋体" w:hint="eastAsia"/>
                <w:color w:val="FF0000"/>
                <w:szCs w:val="21"/>
              </w:rPr>
              <w:t>100 亿元（含）以上</w:t>
            </w:r>
          </w:p>
        </w:tc>
        <w:tc>
          <w:tcPr>
            <w:tcW w:w="1576" w:type="dxa"/>
          </w:tcPr>
          <w:p>
            <w:pPr>
              <w:snapToGrid w:val="0"/>
              <w:jc w:val="center"/>
              <w:rPr>
                <w:rFonts w:ascii="宋体" w:hAnsi="宋体"/>
                <w:color w:val="FF0000"/>
                <w:szCs w:val="21"/>
              </w:rPr>
            </w:pPr>
            <w:r>
              <w:rPr>
                <w:rFonts w:ascii="宋体" w:hAnsi="宋体"/>
                <w:color w:val="FF0000"/>
                <w:szCs w:val="21"/>
              </w:rPr>
              <w:t>0.004%</w:t>
            </w:r>
          </w:p>
        </w:tc>
        <w:tc>
          <w:tcPr>
            <w:tcW w:w="1576" w:type="dxa"/>
          </w:tcPr>
          <w:p>
            <w:pPr>
              <w:snapToGrid w:val="0"/>
              <w:jc w:val="center"/>
              <w:rPr>
                <w:rFonts w:ascii="宋体" w:hAnsi="宋体"/>
                <w:color w:val="FF0000"/>
                <w:szCs w:val="21"/>
              </w:rPr>
            </w:pPr>
            <w:r>
              <w:rPr>
                <w:rFonts w:ascii="宋体" w:hAnsi="宋体"/>
                <w:color w:val="FF0000"/>
                <w:szCs w:val="21"/>
              </w:rPr>
              <w:t>0.004%</w:t>
            </w:r>
          </w:p>
        </w:tc>
        <w:tc>
          <w:tcPr>
            <w:tcW w:w="1576" w:type="dxa"/>
          </w:tcPr>
          <w:p>
            <w:pPr>
              <w:snapToGrid w:val="0"/>
              <w:jc w:val="center"/>
              <w:rPr>
                <w:rFonts w:ascii="宋体" w:hAnsi="宋体"/>
                <w:color w:val="FF0000"/>
                <w:szCs w:val="21"/>
              </w:rPr>
            </w:pPr>
            <w:r>
              <w:rPr>
                <w:rFonts w:ascii="宋体" w:hAnsi="宋体"/>
                <w:color w:val="FF0000"/>
                <w:szCs w:val="21"/>
              </w:rPr>
              <w:t>0.004%</w:t>
            </w:r>
          </w:p>
        </w:tc>
      </w:tr>
    </w:tbl>
    <w:p>
      <w:pPr>
        <w:snapToGrid w:val="0"/>
        <w:ind w:firstLine="420" w:firstLineChars="200"/>
        <w:rPr>
          <w:rFonts w:ascii="宋体" w:hAnsi="宋体"/>
          <w:color w:val="FF0000"/>
          <w:szCs w:val="21"/>
        </w:rPr>
      </w:pPr>
      <w:r>
        <w:rPr>
          <w:rFonts w:ascii="宋体" w:hAnsi="宋体" w:hint="eastAsia"/>
          <w:color w:val="FF0000"/>
          <w:szCs w:val="21"/>
        </w:rPr>
        <w:t>例如：某货物类采购项目中标金额600万元，总共交纳中标服务费为100万以下部分的中标服务费、100万～500万部分的中标服务费、500万～600万部分的中标服务费的总和。</w:t>
      </w:r>
    </w:p>
    <w:p>
      <w:pPr>
        <w:snapToGrid w:val="0"/>
        <w:ind w:firstLine="420" w:firstLineChars="200"/>
        <w:rPr>
          <w:rFonts w:ascii="宋体" w:hAnsi="宋体"/>
          <w:color w:val="FF0000"/>
          <w:szCs w:val="21"/>
        </w:rPr>
      </w:pPr>
      <w:r>
        <w:rPr>
          <w:rFonts w:ascii="宋体" w:hAnsi="宋体" w:hint="eastAsia"/>
          <w:color w:val="FF0000"/>
          <w:szCs w:val="21"/>
        </w:rPr>
        <w:t>中标服务费=100万元×1.5%+（500-100）万元×1.1%+（600-500）万元×0.8%=1.5万元+4.4万元+0.8万元＝6.7万元</w:t>
      </w:r>
    </w:p>
    <w:p>
      <w:pPr>
        <w:widowControl/>
        <w:jc w:val="left"/>
        <w:rPr>
          <w:rFonts w:ascii="宋体" w:eastAsia="黑体" w:hAnsi="宋体" w:cs="Times New Roman"/>
          <w:bCs/>
          <w:kern w:val="44"/>
          <w:sz w:val="28"/>
          <w:szCs w:val="44"/>
        </w:rPr>
      </w:pPr>
      <w:r>
        <w:rPr>
          <w:rFonts w:ascii="宋体" w:hAnsi="宋体" w:hint="eastAsia"/>
          <w:color w:val="FF0000"/>
          <w:szCs w:val="21"/>
        </w:rPr>
        <w:t xml:space="preserve">    3、</w:t>
      </w:r>
      <w:r>
        <w:rPr>
          <w:rFonts w:ascii="宋体" w:hAnsi="宋体" w:hint="eastAsia"/>
          <w:bCs/>
          <w:color w:val="FF0000"/>
          <w:szCs w:val="21"/>
        </w:rPr>
        <w:t>中标供应商必须按规定采用银行对公转账方式向</w:t>
      </w:r>
      <w:r>
        <w:rPr>
          <w:rFonts w:ascii="宋体" w:hAnsi="宋体" w:hint="eastAsia"/>
          <w:color w:val="FF0000"/>
          <w:szCs w:val="21"/>
        </w:rPr>
        <w:t>深圳交易集团有限公司</w:t>
      </w:r>
      <w:r>
        <w:rPr>
          <w:rFonts w:ascii="宋体" w:hAnsi="宋体" w:hint="eastAsia"/>
          <w:bCs/>
          <w:color w:val="FF0000"/>
          <w:szCs w:val="21"/>
        </w:rPr>
        <w:t>直接</w:t>
      </w:r>
      <w:r>
        <w:rPr>
          <w:rFonts w:ascii="宋体" w:hAnsi="宋体" w:hint="eastAsia"/>
          <w:color w:val="FF0000"/>
          <w:szCs w:val="21"/>
        </w:rPr>
        <w:t>交纳中标服务费，交纳信息及要求以招标机构的付款通知为准。</w:t>
      </w:r>
      <w:r>
        <w:br w:type="page"/>
      </w:r>
    </w:p>
    <w:p>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第三章 用户需求书</w:t>
      </w:r>
    </w:p>
    <w:p>
      <w:pPr>
        <w:keepNext/>
        <w:keepLines/>
        <w:tabs>
          <w:tab w:val="left" w:pos="1680"/>
        </w:tabs>
        <w:spacing w:before="260" w:after="78" w:afterLines="25"/>
        <w:jc w:val="center"/>
        <w:outlineLvl w:val="2"/>
        <w:rPr>
          <w:rFonts w:ascii="Arial" w:eastAsia="宋体" w:hAnsi="Arial" w:cs="Times New Roman"/>
          <w:b/>
          <w:sz w:val="32"/>
          <w:szCs w:val="32"/>
        </w:rPr>
      </w:pPr>
      <w:r>
        <w:rPr>
          <w:rFonts w:ascii="Arial" w:eastAsia="宋体" w:hAnsi="Arial" w:cs="Times New Roman" w:hint="eastAsia"/>
          <w:b/>
          <w:sz w:val="32"/>
          <w:szCs w:val="32"/>
        </w:rPr>
        <w:t>一、项目基本信息</w:t>
      </w:r>
    </w:p>
    <w:tbl>
      <w:tblPr>
        <w:tblStyle w:val="TableNormal"/>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Pr>
      <w:tblGrid>
        <w:gridCol w:w="710"/>
        <w:gridCol w:w="2693"/>
        <w:gridCol w:w="2906"/>
        <w:gridCol w:w="2622"/>
      </w:tblGrid>
      <w:tr>
        <w:tblPrEx>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PrEx>
        <w:trPr>
          <w:trHeight w:val="552"/>
          <w:jc w:val="center"/>
        </w:trPr>
        <w:tc>
          <w:tcPr>
            <w:tcW w:w="710" w:type="dxa"/>
            <w:shd w:val="clear" w:color="auto" w:fill="C6D9F1"/>
            <w:vAlign w:val="center"/>
          </w:tcPr>
          <w:p>
            <w:pPr>
              <w:jc w:val="center"/>
              <w:rPr>
                <w:b/>
                <w:bCs/>
              </w:rPr>
            </w:pPr>
            <w:r>
              <w:rPr>
                <w:rFonts w:hint="eastAsia"/>
                <w:b/>
                <w:bCs/>
              </w:rPr>
              <w:t>序号</w:t>
            </w:r>
          </w:p>
        </w:tc>
        <w:tc>
          <w:tcPr>
            <w:tcW w:w="2693" w:type="dxa"/>
            <w:shd w:val="clear" w:color="auto" w:fill="C6D9F1"/>
            <w:vAlign w:val="center"/>
          </w:tcPr>
          <w:p>
            <w:pPr>
              <w:jc w:val="center"/>
              <w:rPr>
                <w:b/>
                <w:bCs/>
              </w:rPr>
            </w:pPr>
            <w:r>
              <w:rPr>
                <w:rFonts w:hint="eastAsia"/>
                <w:b/>
                <w:bCs/>
              </w:rPr>
              <w:t>采购计划编号</w:t>
            </w:r>
          </w:p>
        </w:tc>
        <w:tc>
          <w:tcPr>
            <w:tcW w:w="2906" w:type="dxa"/>
            <w:shd w:val="clear" w:color="auto" w:fill="C6D9F1"/>
            <w:vAlign w:val="center"/>
          </w:tcPr>
          <w:p>
            <w:pPr>
              <w:jc w:val="center"/>
              <w:rPr>
                <w:b/>
                <w:bCs/>
              </w:rPr>
            </w:pPr>
            <w:r>
              <w:rPr>
                <w:rFonts w:hint="eastAsia"/>
                <w:b/>
                <w:bCs/>
              </w:rPr>
              <w:t>采购项目名称</w:t>
            </w:r>
          </w:p>
        </w:tc>
        <w:tc>
          <w:tcPr>
            <w:tcW w:w="2622" w:type="dxa"/>
            <w:shd w:val="clear" w:color="auto" w:fill="C6D9F1"/>
            <w:vAlign w:val="center"/>
          </w:tcPr>
          <w:p>
            <w:pPr>
              <w:jc w:val="center"/>
              <w:rPr>
                <w:rFonts w:asciiTheme="minorEastAsia" w:hAnsiTheme="minorEastAsia"/>
                <w:b/>
                <w:bCs/>
                <w:sz w:val="24"/>
                <w:szCs w:val="24"/>
              </w:rPr>
            </w:pPr>
            <w:r>
              <w:rPr>
                <w:rFonts w:asciiTheme="minorEastAsia" w:hAnsiTheme="minorEastAsia" w:hint="eastAsia"/>
                <w:b/>
                <w:bCs/>
                <w:sz w:val="24"/>
                <w:szCs w:val="24"/>
              </w:rPr>
              <w:t>财政预算限额（元）</w:t>
            </w:r>
          </w:p>
        </w:tc>
      </w:tr>
      <w:tr>
        <w:tblPrEx>
          <w:tblW w:w="8931" w:type="dxa"/>
          <w:jc w:val="center"/>
          <w:tblLayout w:type="fixed"/>
          <w:tblCellMar>
            <w:top w:w="15" w:type="dxa"/>
            <w:left w:w="15" w:type="dxa"/>
            <w:bottom w:w="15" w:type="dxa"/>
            <w:right w:w="15" w:type="dxa"/>
          </w:tblCellMar>
        </w:tblPrEx>
        <w:trPr>
          <w:trHeight w:val="286"/>
          <w:jc w:val="center"/>
        </w:trPr>
        <w:tc>
          <w:tcPr>
            <w:tcW w:w="710" w:type="dxa"/>
            <w:vAlign w:val="center"/>
          </w:tcPr>
          <w:p>
            <w:pPr>
              <w:jc w:val="center"/>
              <w:rPr>
                <w:rFonts w:asciiTheme="minorEastAsia" w:hAnsiTheme="minorEastAsia"/>
                <w:bCs/>
                <w:sz w:val="24"/>
                <w:szCs w:val="24"/>
              </w:rPr>
            </w:pPr>
            <w:r>
              <w:rPr>
                <w:rFonts w:asciiTheme="minorEastAsia" w:hAnsiTheme="minorEastAsia" w:hint="eastAsia"/>
                <w:bCs/>
                <w:sz w:val="24"/>
                <w:szCs w:val="24"/>
              </w:rPr>
              <w:t>1</w:t>
            </w:r>
          </w:p>
        </w:tc>
        <w:tc>
          <w:tcPr>
            <w:tcW w:w="2693" w:type="dxa"/>
            <w:vAlign w:val="center"/>
          </w:tcPr>
          <w:p>
            <w:pPr>
              <w:jc w:val="center"/>
              <w:rPr>
                <w:rFonts w:asciiTheme="minorEastAsia" w:hAnsiTheme="minorEastAsia"/>
                <w:bCs/>
                <w:sz w:val="24"/>
                <w:szCs w:val="24"/>
              </w:rPr>
            </w:pPr>
            <w:r>
              <w:rPr>
                <w:rFonts w:asciiTheme="minorEastAsia" w:hAnsiTheme="minorEastAsia"/>
                <w:bCs/>
                <w:sz w:val="24"/>
                <w:szCs w:val="24"/>
              </w:rPr>
              <w:t>ZXBZ20234403063819</w:t>
            </w:r>
          </w:p>
        </w:tc>
        <w:tc>
          <w:tcPr>
            <w:tcW w:w="2906" w:type="dxa"/>
            <w:vAlign w:val="center"/>
          </w:tcPr>
          <w:p>
            <w:pPr>
              <w:jc w:val="center"/>
              <w:rPr>
                <w:rFonts w:asciiTheme="minorEastAsia" w:hAnsiTheme="minorEastAsia"/>
                <w:b/>
                <w:bCs/>
                <w:sz w:val="24"/>
                <w:szCs w:val="24"/>
              </w:rPr>
            </w:pPr>
            <w:r>
              <w:rPr>
                <w:rFonts w:asciiTheme="minorEastAsia" w:hAnsiTheme="minorEastAsia" w:hint="eastAsia"/>
                <w:b/>
                <w:bCs/>
                <w:sz w:val="24"/>
                <w:szCs w:val="24"/>
              </w:rPr>
              <w:t>深圳市宝安区石岩街道办事处南光高速市政化改造工程（一期）房屋征收项目专项法律服务</w:t>
            </w:r>
          </w:p>
          <w:p>
            <w:pPr>
              <w:jc w:val="center"/>
              <w:rPr>
                <w:b/>
                <w:bCs/>
              </w:rPr>
            </w:pPr>
            <w:r>
              <w:rPr>
                <w:rFonts w:asciiTheme="minorEastAsia" w:hAnsiTheme="minorEastAsia" w:hint="eastAsia"/>
                <w:b/>
                <w:bCs/>
                <w:sz w:val="24"/>
                <w:szCs w:val="24"/>
              </w:rPr>
              <w:t>（</w:t>
            </w:r>
            <w:r>
              <w:rPr>
                <w:rFonts w:asciiTheme="minorEastAsia" w:hAnsiTheme="minorEastAsia" w:cs="Times New Roman" w:hint="eastAsia"/>
                <w:b/>
                <w:sz w:val="24"/>
                <w:szCs w:val="24"/>
              </w:rPr>
              <w:t>A包</w:t>
            </w:r>
            <w:r>
              <w:rPr>
                <w:rFonts w:asciiTheme="minorEastAsia" w:hAnsiTheme="minorEastAsia" w:hint="eastAsia"/>
                <w:b/>
                <w:bCs/>
                <w:sz w:val="24"/>
                <w:szCs w:val="24"/>
              </w:rPr>
              <w:t>）</w:t>
            </w:r>
          </w:p>
        </w:tc>
        <w:tc>
          <w:tcPr>
            <w:tcW w:w="2622" w:type="dxa"/>
            <w:vAlign w:val="center"/>
          </w:tcPr>
          <w:p>
            <w:pPr>
              <w:jc w:val="center"/>
              <w:rPr>
                <w:b/>
                <w:bCs/>
              </w:rPr>
            </w:pPr>
            <w:r>
              <w:rPr>
                <w:b/>
                <w:bCs/>
              </w:rPr>
              <w:t>600000.00</w:t>
            </w:r>
          </w:p>
        </w:tc>
      </w:tr>
    </w:tbl>
    <w:p>
      <w:pPr>
        <w:rPr>
          <w:sz w:val="24"/>
          <w:szCs w:val="24"/>
        </w:rPr>
      </w:pPr>
      <w:r>
        <w:rPr>
          <w:rFonts w:ascii="Arial" w:eastAsia="宋体" w:hAnsi="Arial" w:cs="Times New Roman" w:hint="eastAsia"/>
          <w:b/>
          <w:color w:val="FF0000"/>
          <w:sz w:val="24"/>
          <w:szCs w:val="24"/>
        </w:rPr>
        <w:t>本项目控制金额为人民币600000.00元，投标报价超出控制金额将作投标无效处理。</w:t>
      </w:r>
    </w:p>
    <w:p>
      <w:pPr>
        <w:ind w:firstLine="420" w:firstLineChars="200"/>
      </w:pPr>
    </w:p>
    <w:p>
      <w:pPr>
        <w:rPr>
          <w:b/>
          <w:color w:val="FF0000"/>
        </w:rPr>
      </w:pPr>
    </w:p>
    <w:p>
      <w:pPr>
        <w:rPr>
          <w:b/>
          <w:color w:val="FF0000"/>
        </w:rPr>
      </w:pPr>
    </w:p>
    <w:p>
      <w:pPr>
        <w:rPr>
          <w:b/>
          <w:color w:val="FF0000"/>
        </w:rPr>
      </w:pPr>
    </w:p>
    <w:p>
      <w:pPr>
        <w:rPr>
          <w:b/>
          <w:color w:val="FF0000"/>
        </w:rPr>
      </w:pPr>
    </w:p>
    <w:p>
      <w:pPr>
        <w:rPr>
          <w:b/>
          <w:color w:val="FF0000"/>
        </w:rPr>
      </w:pPr>
    </w:p>
    <w:p>
      <w:pPr>
        <w:widowControl/>
        <w:jc w:val="left"/>
        <w:rPr>
          <w:b/>
          <w:color w:val="FF0000"/>
          <w:sz w:val="32"/>
          <w:szCs w:val="32"/>
        </w:rPr>
      </w:pPr>
      <w:r>
        <w:rPr>
          <w:b/>
          <w:color w:val="FF0000"/>
          <w:sz w:val="32"/>
          <w:szCs w:val="32"/>
        </w:rPr>
        <w:br w:type="page"/>
      </w:r>
    </w:p>
    <w:p>
      <w:pPr>
        <w:keepNext/>
        <w:keepLines/>
        <w:tabs>
          <w:tab w:val="left" w:pos="1680"/>
        </w:tabs>
        <w:spacing w:before="260" w:after="78" w:afterLines="25"/>
        <w:jc w:val="center"/>
        <w:outlineLvl w:val="2"/>
        <w:rPr>
          <w:rFonts w:ascii="Arial" w:eastAsia="宋体" w:hAnsi="Arial" w:cs="Times New Roman"/>
          <w:b/>
          <w:bCs/>
          <w:color w:val="FF0000"/>
          <w:sz w:val="32"/>
          <w:szCs w:val="32"/>
        </w:rPr>
      </w:pPr>
      <w:r>
        <w:rPr>
          <w:rFonts w:hint="eastAsia"/>
          <w:b/>
          <w:color w:val="FF0000"/>
          <w:sz w:val="32"/>
          <w:szCs w:val="32"/>
        </w:rPr>
        <w:t>★</w:t>
      </w:r>
      <w:r>
        <w:rPr>
          <w:rFonts w:ascii="Arial" w:eastAsia="宋体" w:hAnsi="Arial" w:cs="Times New Roman" w:hint="eastAsia"/>
          <w:b/>
          <w:bCs/>
          <w:color w:val="FF0000"/>
          <w:sz w:val="32"/>
          <w:szCs w:val="32"/>
        </w:rPr>
        <w:t>二、商务和服务条款部分</w:t>
      </w:r>
    </w:p>
    <w:p>
      <w:pPr>
        <w:rPr>
          <w:b/>
          <w:color w:val="FF0000"/>
        </w:rPr>
      </w:pPr>
      <w:r>
        <w:rPr>
          <w:rFonts w:hint="eastAsia"/>
          <w:b/>
          <w:color w:val="FF0000"/>
        </w:rPr>
        <w:t>1.本部分内容为项目正常开展的基本要求，均为★号条款要求，投标人必须完全响应满足本部分的全部内容，否则将导致投标无效。投标人是否满足本部分带★号条款要求，以《</w:t>
      </w:r>
      <w:r>
        <w:rPr>
          <w:rFonts w:hint="eastAsia"/>
          <w:b/>
          <w:bCs/>
          <w:color w:val="FF0000"/>
        </w:rPr>
        <w:t>商务（服务）</w:t>
      </w:r>
      <w:r>
        <w:rPr>
          <w:rFonts w:hint="eastAsia"/>
          <w:b/>
          <w:color w:val="FF0000"/>
        </w:rPr>
        <w:t>条款偏离表》响应</w:t>
      </w:r>
      <w:r>
        <w:rPr>
          <w:rFonts w:cs="Arial" w:hint="eastAsia"/>
          <w:b/>
          <w:color w:val="FF0000"/>
        </w:rPr>
        <w:t>为准</w:t>
      </w:r>
      <w:r>
        <w:rPr>
          <w:rFonts w:hint="eastAsia"/>
          <w:b/>
          <w:color w:val="FF0000"/>
        </w:rPr>
        <w:t>。</w:t>
      </w:r>
    </w:p>
    <w:p>
      <w:pPr>
        <w:widowControl/>
        <w:jc w:val="left"/>
        <w:rPr>
          <w:b/>
          <w:color w:val="FF0000"/>
        </w:rPr>
      </w:pPr>
      <w:r>
        <w:rPr>
          <w:rFonts w:hint="eastAsia"/>
          <w:b/>
          <w:color w:val="FF0000"/>
        </w:rPr>
        <w:t>2.如投标人中标后被发现不能满足本部分带★号条款要求的，采购单位有权拒绝签订合同，一切后果由投标人承担。</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708"/>
        <w:gridCol w:w="1080"/>
        <w:gridCol w:w="452"/>
        <w:gridCol w:w="632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089"/>
          <w:jc w:val="center"/>
        </w:trPr>
        <w:tc>
          <w:tcPr>
            <w:tcW w:w="1708"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after="78" w:line="360" w:lineRule="auto"/>
              <w:jc w:val="center"/>
              <w:rPr>
                <w:rFonts w:ascii="宋体" w:eastAsia="宋体" w:hAnsi="宋体"/>
                <w:b/>
                <w:kern w:val="0"/>
                <w:szCs w:val="21"/>
              </w:rPr>
            </w:pPr>
            <w:r>
              <w:rPr>
                <w:rFonts w:ascii="宋体" w:hAnsi="宋体" w:hint="eastAsia"/>
                <w:b/>
                <w:kern w:val="0"/>
              </w:rPr>
              <w:t>项目概况</w:t>
            </w:r>
          </w:p>
        </w:tc>
        <w:tc>
          <w:tcPr>
            <w:tcW w:w="7853" w:type="dxa"/>
            <w:gridSpan w:val="3"/>
            <w:tcBorders>
              <w:top w:val="single" w:sz="4" w:space="0" w:color="auto"/>
              <w:left w:val="nil"/>
              <w:bottom w:val="single" w:sz="4" w:space="0" w:color="auto"/>
              <w:right w:val="single" w:sz="4" w:space="0" w:color="auto"/>
            </w:tcBorders>
          </w:tcPr>
          <w:p>
            <w:pPr>
              <w:spacing w:before="156" w:beforeLines="50" w:after="78"/>
              <w:ind w:left="-1"/>
              <w:rPr>
                <w:rFonts w:ascii="宋体" w:hAnsi="宋体"/>
                <w:b/>
              </w:rPr>
            </w:pPr>
            <w:r>
              <w:rPr>
                <w:rFonts w:ascii="宋体" w:hAnsi="宋体"/>
                <w:b/>
              </w:rPr>
              <w:t>南光高速市政化改造工程（一期）房屋征收</w:t>
            </w:r>
            <w:r>
              <w:rPr>
                <w:rFonts w:ascii="宋体" w:hAnsi="宋体" w:hint="eastAsia"/>
                <w:b/>
              </w:rPr>
              <w:t>情况</w:t>
            </w:r>
          </w:p>
          <w:p>
            <w:pPr>
              <w:spacing w:after="78"/>
              <w:rPr>
                <w:rFonts w:ascii="Times New Roman" w:hAnsi="Times New Roman"/>
                <w:bCs/>
              </w:rPr>
            </w:pPr>
            <w:r>
              <w:rPr>
                <w:rFonts w:ascii="宋体" w:hAnsi="宋体"/>
                <w:bCs/>
              </w:rPr>
              <w:t>本项目红线范围内</w:t>
            </w:r>
            <w:r>
              <w:rPr>
                <w:rFonts w:ascii="宋体" w:hAnsi="宋体" w:hint="eastAsia"/>
                <w:bCs/>
              </w:rPr>
              <w:t>涉及建筑物</w:t>
            </w:r>
            <w:r>
              <w:rPr>
                <w:rFonts w:ascii="宋体" w:hAnsi="宋体"/>
                <w:bCs/>
              </w:rPr>
              <w:t>约</w:t>
            </w:r>
            <w:r>
              <w:rPr>
                <w:rFonts w:hint="eastAsia"/>
                <w:bCs/>
              </w:rPr>
              <w:t>27</w:t>
            </w:r>
            <w:r>
              <w:rPr>
                <w:rFonts w:ascii="宋体" w:hAnsi="宋体" w:hint="eastAsia"/>
                <w:bCs/>
              </w:rPr>
              <w:t>栋，建筑面积</w:t>
            </w:r>
            <w:r>
              <w:rPr>
                <w:rFonts w:ascii="宋体" w:hAnsi="宋体"/>
                <w:bCs/>
              </w:rPr>
              <w:t>约</w:t>
            </w:r>
            <w:r>
              <w:rPr>
                <w:rFonts w:hint="eastAsia"/>
                <w:bCs/>
              </w:rPr>
              <w:t>1.2</w:t>
            </w:r>
            <w:r>
              <w:rPr>
                <w:rFonts w:ascii="宋体" w:hAnsi="宋体"/>
                <w:bCs/>
              </w:rPr>
              <w:t>万</w:t>
            </w:r>
            <w:r>
              <w:rPr>
                <w:rFonts w:ascii="宋体" w:hAnsi="宋体" w:hint="eastAsia"/>
                <w:bCs/>
              </w:rPr>
              <w:t>平方米</w:t>
            </w:r>
            <w:r>
              <w:rPr>
                <w:rFonts w:ascii="宋体" w:hAnsi="宋体"/>
                <w:bCs/>
              </w:rPr>
              <w:t>。其中，涉及集资房</w:t>
            </w:r>
            <w:r>
              <w:rPr>
                <w:bCs/>
              </w:rPr>
              <w:t>2</w:t>
            </w:r>
            <w:r>
              <w:rPr>
                <w:rFonts w:ascii="宋体" w:hAnsi="宋体"/>
                <w:bCs/>
              </w:rPr>
              <w:t>栋，业主</w:t>
            </w:r>
            <w:r>
              <w:rPr>
                <w:rFonts w:ascii="宋体" w:hAnsi="宋体" w:hint="eastAsia"/>
                <w:bCs/>
              </w:rPr>
              <w:t>约</w:t>
            </w:r>
            <w:r>
              <w:rPr>
                <w:bCs/>
              </w:rPr>
              <w:t>33</w:t>
            </w:r>
            <w:r>
              <w:rPr>
                <w:rFonts w:ascii="宋体" w:hAnsi="宋体"/>
                <w:bCs/>
              </w:rPr>
              <w:t>户，建筑物权属分散，部分房屋存在私下多手转让行为，经济关系复杂，谈判</w:t>
            </w:r>
            <w:r>
              <w:rPr>
                <w:rFonts w:ascii="宋体" w:hAnsi="宋体" w:hint="eastAsia"/>
                <w:bCs/>
              </w:rPr>
              <w:t>清租</w:t>
            </w:r>
            <w:r>
              <w:rPr>
                <w:rFonts w:ascii="宋体" w:hAnsi="宋体"/>
                <w:bCs/>
              </w:rPr>
              <w:t>过程中将面临诸多法律疑难问题。</w:t>
            </w:r>
          </w:p>
          <w:p>
            <w:pPr>
              <w:spacing w:after="78"/>
              <w:rPr>
                <w:rFonts w:ascii="宋体" w:hAnsi="宋体"/>
                <w:b/>
              </w:rPr>
            </w:pPr>
            <w:r>
              <w:rPr>
                <w:rFonts w:ascii="宋体" w:hAnsi="宋体" w:hint="eastAsia"/>
                <w:b/>
              </w:rPr>
              <w:t>具体服务范围以中标后采购方提供的测绘报告为准。</w:t>
            </w:r>
          </w:p>
          <w:p>
            <w:pPr>
              <w:spacing w:after="78"/>
              <w:ind w:firstLine="420" w:firstLineChars="200"/>
              <w:rPr>
                <w:rFonts w:ascii="宋体" w:eastAsia="宋体" w:hAnsi="宋体"/>
                <w:b/>
                <w:szCs w:val="21"/>
              </w:rPr>
            </w:pPr>
            <w:r>
              <w:rPr>
                <w:rFonts w:ascii="宋体" w:hAnsi="宋体" w:hint="eastAsia"/>
                <w:bCs/>
              </w:rPr>
              <w:t>本次专项法律服务收费标准参照发改价格</w:t>
            </w:r>
            <w:r>
              <w:rPr>
                <w:rFonts w:hint="eastAsia"/>
                <w:bCs/>
              </w:rPr>
              <w:t>[2006]611</w:t>
            </w:r>
            <w:r>
              <w:rPr>
                <w:rFonts w:ascii="宋体" w:hAnsi="宋体" w:hint="eastAsia"/>
                <w:bCs/>
              </w:rPr>
              <w:t>号、《广东省物价局、司法厅律师服务收费管理实施办法》（粤价</w:t>
            </w:r>
            <w:r>
              <w:rPr>
                <w:rFonts w:hint="eastAsia"/>
                <w:bCs/>
              </w:rPr>
              <w:t>[2006]298</w:t>
            </w:r>
            <w:r>
              <w:rPr>
                <w:rFonts w:ascii="宋体" w:hAnsi="宋体" w:hint="eastAsia"/>
                <w:bCs/>
              </w:rPr>
              <w:t>号）及《广东省律师服务政府指导价》有关规定。</w:t>
            </w:r>
          </w:p>
        </w:tc>
      </w:tr>
      <w:tr>
        <w:tblPrEx>
          <w:tblW w:w="0" w:type="auto"/>
          <w:jc w:val="center"/>
          <w:tblLayout w:type="fixed"/>
          <w:tblCellMar>
            <w:top w:w="0" w:type="dxa"/>
            <w:left w:w="108" w:type="dxa"/>
            <w:bottom w:w="0" w:type="dxa"/>
            <w:right w:w="108" w:type="dxa"/>
          </w:tblCellMar>
        </w:tblPrEx>
        <w:trPr>
          <w:trHeight w:val="90"/>
          <w:jc w:val="center"/>
        </w:trPr>
        <w:tc>
          <w:tcPr>
            <w:tcW w:w="1708"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after="78" w:line="360" w:lineRule="auto"/>
              <w:jc w:val="center"/>
              <w:rPr>
                <w:rFonts w:ascii="宋体" w:eastAsia="宋体" w:hAnsi="宋体"/>
                <w:b/>
                <w:kern w:val="0"/>
                <w:szCs w:val="21"/>
              </w:rPr>
            </w:pPr>
            <w:r>
              <w:rPr>
                <w:rFonts w:ascii="宋体" w:hAnsi="宋体" w:hint="eastAsia"/>
                <w:b/>
                <w:kern w:val="0"/>
              </w:rPr>
              <w:t>服务期限</w:t>
            </w:r>
          </w:p>
        </w:tc>
        <w:tc>
          <w:tcPr>
            <w:tcW w:w="7853" w:type="dxa"/>
            <w:gridSpan w:val="3"/>
            <w:tcBorders>
              <w:top w:val="single" w:sz="4" w:space="0" w:color="auto"/>
              <w:left w:val="nil"/>
              <w:bottom w:val="single" w:sz="4" w:space="0" w:color="auto"/>
              <w:right w:val="single" w:sz="4" w:space="0" w:color="auto"/>
            </w:tcBorders>
            <w:vAlign w:val="center"/>
          </w:tcPr>
          <w:p>
            <w:pPr>
              <w:spacing w:after="78"/>
              <w:ind w:left="407" w:leftChars="194"/>
              <w:jc w:val="left"/>
              <w:rPr>
                <w:rFonts w:eastAsia="宋体"/>
                <w:kern w:val="0"/>
                <w:szCs w:val="21"/>
              </w:rPr>
            </w:pPr>
            <w:r>
              <w:rPr>
                <w:rFonts w:hint="eastAsia"/>
              </w:rPr>
              <w:t>8</w:t>
            </w:r>
            <w:r>
              <w:rPr>
                <w:rFonts w:ascii="宋体" w:hAnsi="宋体" w:hint="eastAsia"/>
              </w:rPr>
              <w:t>个月（暂定，实际至项目谈判清租工作完成，具体以合同约定为准）。</w:t>
            </w:r>
          </w:p>
        </w:tc>
      </w:tr>
      <w:tr>
        <w:tblPrEx>
          <w:tblW w:w="0" w:type="auto"/>
          <w:jc w:val="center"/>
          <w:tblLayout w:type="fixed"/>
          <w:tblCellMar>
            <w:top w:w="0" w:type="dxa"/>
            <w:left w:w="108" w:type="dxa"/>
            <w:bottom w:w="0" w:type="dxa"/>
            <w:right w:w="108" w:type="dxa"/>
          </w:tblCellMar>
        </w:tblPrEx>
        <w:trPr>
          <w:trHeight w:val="488"/>
          <w:jc w:val="center"/>
        </w:trPr>
        <w:tc>
          <w:tcPr>
            <w:tcW w:w="1708" w:type="dxa"/>
            <w:vMerge w:val="restart"/>
            <w:tcBorders>
              <w:top w:val="nil"/>
              <w:left w:val="single" w:sz="4" w:space="0" w:color="auto"/>
              <w:bottom w:val="single" w:sz="4" w:space="0" w:color="auto"/>
              <w:right w:val="single" w:sz="4" w:space="0" w:color="auto"/>
            </w:tcBorders>
            <w:vAlign w:val="center"/>
          </w:tcPr>
          <w:p>
            <w:pPr>
              <w:adjustRightInd w:val="0"/>
              <w:snapToGrid w:val="0"/>
              <w:spacing w:after="78" w:line="360" w:lineRule="auto"/>
              <w:jc w:val="center"/>
              <w:rPr>
                <w:rFonts w:ascii="宋体" w:eastAsia="宋体" w:hAnsi="宋体"/>
                <w:b/>
                <w:kern w:val="0"/>
                <w:szCs w:val="21"/>
              </w:rPr>
            </w:pPr>
            <w:r>
              <w:rPr>
                <w:rFonts w:ascii="宋体" w:hAnsi="宋体" w:hint="eastAsia"/>
                <w:b/>
                <w:kern w:val="0"/>
              </w:rPr>
              <w:t>服务需求及质量标准</w:t>
            </w:r>
          </w:p>
        </w:tc>
        <w:tc>
          <w:tcPr>
            <w:tcW w:w="1080" w:type="dxa"/>
            <w:tcBorders>
              <w:top w:val="single" w:sz="4" w:space="0" w:color="auto"/>
              <w:left w:val="nil"/>
              <w:bottom w:val="single" w:sz="4" w:space="0" w:color="auto"/>
              <w:right w:val="single" w:sz="4" w:space="0" w:color="auto"/>
            </w:tcBorders>
            <w:vAlign w:val="center"/>
          </w:tcPr>
          <w:p>
            <w:pPr>
              <w:adjustRightInd w:val="0"/>
              <w:snapToGrid w:val="0"/>
              <w:spacing w:after="78"/>
              <w:jc w:val="center"/>
              <w:rPr>
                <w:rFonts w:ascii="宋体" w:eastAsia="宋体" w:hAnsi="宋体" w:cs="Arial"/>
                <w:b/>
                <w:szCs w:val="21"/>
              </w:rPr>
            </w:pPr>
            <w:r>
              <w:rPr>
                <w:rFonts w:ascii="宋体" w:hAnsi="宋体" w:cs="Arial" w:hint="eastAsia"/>
                <w:b/>
              </w:rPr>
              <w:t>服务工作内容</w:t>
            </w:r>
          </w:p>
        </w:tc>
        <w:tc>
          <w:tcPr>
            <w:tcW w:w="6773" w:type="dxa"/>
            <w:gridSpan w:val="2"/>
            <w:tcBorders>
              <w:top w:val="single" w:sz="4" w:space="0" w:color="auto"/>
              <w:left w:val="nil"/>
              <w:bottom w:val="single" w:sz="4" w:space="0" w:color="auto"/>
              <w:right w:val="single" w:sz="4" w:space="0" w:color="auto"/>
            </w:tcBorders>
            <w:vAlign w:val="center"/>
          </w:tcPr>
          <w:p>
            <w:pPr>
              <w:spacing w:after="78"/>
              <w:ind w:firstLine="420" w:firstLineChars="200"/>
              <w:jc w:val="left"/>
              <w:rPr>
                <w:szCs w:val="21"/>
              </w:rPr>
            </w:pPr>
            <w:r>
              <w:rPr>
                <w:rFonts w:hint="eastAsia"/>
              </w:rPr>
              <w:t>1.</w:t>
            </w:r>
            <w:r>
              <w:rPr>
                <w:rFonts w:ascii="宋体" w:hAnsi="宋体" w:hint="eastAsia"/>
              </w:rPr>
              <w:t>检索、收集、梳理本项目涉及的法律法规，为依法实施本项目提供法律规定，对本项目实施过程中可能出现的法律问题进行预判。</w:t>
            </w:r>
          </w:p>
          <w:p>
            <w:pPr>
              <w:spacing w:after="78"/>
              <w:ind w:firstLine="420" w:firstLineChars="200"/>
              <w:jc w:val="left"/>
            </w:pPr>
            <w:r>
              <w:rPr>
                <w:rFonts w:hint="eastAsia"/>
              </w:rPr>
              <w:t>2.</w:t>
            </w:r>
            <w:r>
              <w:rPr>
                <w:rFonts w:ascii="宋体" w:hAnsi="宋体" w:hint="eastAsia"/>
              </w:rPr>
              <w:t>协助编制补偿安置方案，提出法律意见。</w:t>
            </w:r>
          </w:p>
          <w:p>
            <w:pPr>
              <w:spacing w:after="78"/>
              <w:ind w:firstLine="420" w:firstLineChars="200"/>
              <w:jc w:val="left"/>
            </w:pPr>
            <w:r>
              <w:rPr>
                <w:rFonts w:hint="eastAsia"/>
              </w:rPr>
              <w:t>3.</w:t>
            </w:r>
            <w:r>
              <w:rPr>
                <w:rFonts w:ascii="宋体" w:hAnsi="宋体" w:hint="eastAsia"/>
              </w:rPr>
              <w:t>参与制作权属核查工作方案、程序和申报表，提出法律意见。</w:t>
            </w:r>
          </w:p>
          <w:p>
            <w:pPr>
              <w:spacing w:after="78"/>
              <w:ind w:firstLine="420" w:firstLineChars="200"/>
              <w:jc w:val="left"/>
            </w:pPr>
            <w:r>
              <w:rPr>
                <w:rFonts w:hint="eastAsia"/>
              </w:rPr>
              <w:t>4.</w:t>
            </w:r>
            <w:r>
              <w:rPr>
                <w:rFonts w:ascii="宋体" w:hAnsi="宋体" w:hint="eastAsia"/>
              </w:rPr>
              <w:t>指导甲方工作人员及其他服务单位开展测绘数据、评估数据的送达工作，编制送达指引。</w:t>
            </w:r>
          </w:p>
          <w:p>
            <w:pPr>
              <w:spacing w:after="78"/>
              <w:ind w:firstLine="420" w:firstLineChars="200"/>
              <w:jc w:val="left"/>
            </w:pPr>
            <w:r>
              <w:rPr>
                <w:rFonts w:hint="eastAsia"/>
              </w:rPr>
              <w:t>5.</w:t>
            </w:r>
            <w:r>
              <w:rPr>
                <w:rFonts w:ascii="宋体" w:hAnsi="宋体" w:hint="eastAsia"/>
              </w:rPr>
              <w:t>及时解答甲方工作人员在本项目实施过程中遇到的一般性法律及政策问题，提供法律、政策咨询服务。</w:t>
            </w:r>
          </w:p>
          <w:p>
            <w:pPr>
              <w:spacing w:after="78"/>
              <w:ind w:firstLine="420" w:firstLineChars="200"/>
              <w:jc w:val="left"/>
            </w:pPr>
            <w:r>
              <w:rPr>
                <w:rFonts w:hint="eastAsia"/>
              </w:rPr>
              <w:t>6.</w:t>
            </w:r>
            <w:r>
              <w:rPr>
                <w:rFonts w:ascii="宋体" w:hAnsi="宋体" w:hint="eastAsia"/>
              </w:rPr>
              <w:t>就本项目实施过程中涉及的法律专业疑难问题、历史遗留问题进行法律、政策研究，提出解决建议和处置思路，必要时出具书面法律意见。</w:t>
            </w:r>
          </w:p>
          <w:p>
            <w:pPr>
              <w:spacing w:after="78"/>
              <w:ind w:firstLine="420" w:firstLineChars="200"/>
              <w:jc w:val="left"/>
            </w:pPr>
            <w:r>
              <w:rPr>
                <w:rFonts w:hint="eastAsia"/>
              </w:rPr>
              <w:t>7.</w:t>
            </w:r>
            <w:r>
              <w:rPr>
                <w:rFonts w:ascii="宋体" w:hAnsi="宋体" w:hint="eastAsia"/>
              </w:rPr>
              <w:t>就本项目实施过程中甲方拟作出的重大决策进行法律分析论证，预判与提示法律风险。</w:t>
            </w:r>
          </w:p>
          <w:p>
            <w:pPr>
              <w:spacing w:after="78"/>
              <w:ind w:firstLine="420" w:firstLineChars="200"/>
              <w:jc w:val="left"/>
            </w:pPr>
            <w:r>
              <w:rPr>
                <w:rFonts w:hint="eastAsia"/>
              </w:rPr>
              <w:t>8.</w:t>
            </w:r>
            <w:r>
              <w:rPr>
                <w:rFonts w:ascii="宋体" w:hAnsi="宋体" w:hint="eastAsia"/>
              </w:rPr>
              <w:t>应邀列席本项目工作会议，积极建言献策，提供法律意见。</w:t>
            </w:r>
          </w:p>
          <w:p>
            <w:pPr>
              <w:spacing w:after="78"/>
              <w:ind w:firstLine="420" w:firstLineChars="200"/>
              <w:jc w:val="left"/>
            </w:pPr>
            <w:r>
              <w:rPr>
                <w:rFonts w:hint="eastAsia"/>
              </w:rPr>
              <w:t>9.</w:t>
            </w:r>
            <w:r>
              <w:rPr>
                <w:rFonts w:ascii="宋体" w:hAnsi="宋体" w:hint="eastAsia"/>
              </w:rPr>
              <w:t>审核与修改甲方拟订的公示、提示、告知书等本项目法律文书。</w:t>
            </w:r>
          </w:p>
          <w:p>
            <w:pPr>
              <w:spacing w:after="78"/>
              <w:ind w:firstLine="420" w:firstLineChars="200"/>
              <w:jc w:val="left"/>
            </w:pPr>
            <w:r>
              <w:rPr>
                <w:rFonts w:hint="eastAsia"/>
              </w:rPr>
              <w:t>10.</w:t>
            </w:r>
            <w:r>
              <w:rPr>
                <w:rFonts w:ascii="宋体" w:hAnsi="宋体" w:hint="eastAsia"/>
              </w:rPr>
              <w:t>起草本项目土地补偿协议、搬迁补偿安置协议模板，报甲方审定。</w:t>
            </w:r>
          </w:p>
          <w:p>
            <w:pPr>
              <w:spacing w:after="78"/>
              <w:ind w:firstLine="420" w:firstLineChars="200"/>
              <w:jc w:val="left"/>
            </w:pPr>
            <w:r>
              <w:rPr>
                <w:rFonts w:hint="eastAsia"/>
              </w:rPr>
              <w:t>11.</w:t>
            </w:r>
            <w:r>
              <w:rPr>
                <w:rFonts w:ascii="宋体" w:hAnsi="宋体" w:hint="eastAsia"/>
              </w:rPr>
              <w:t>对与本项目相关的补偿协议进行法律审查，出具书面法律审查意见。</w:t>
            </w:r>
          </w:p>
          <w:p>
            <w:pPr>
              <w:spacing w:after="78"/>
              <w:ind w:firstLine="420" w:firstLineChars="200"/>
              <w:jc w:val="left"/>
            </w:pPr>
            <w:r>
              <w:rPr>
                <w:rFonts w:hint="eastAsia"/>
              </w:rPr>
              <w:t>12.</w:t>
            </w:r>
            <w:r>
              <w:rPr>
                <w:rFonts w:ascii="宋体" w:hAnsi="宋体" w:hint="eastAsia"/>
              </w:rPr>
              <w:t>参与甲方工作人员的谈判工作，协助提供专业法律意见。</w:t>
            </w:r>
          </w:p>
          <w:p>
            <w:pPr>
              <w:spacing w:after="78"/>
              <w:ind w:firstLine="420" w:firstLineChars="200"/>
              <w:jc w:val="left"/>
            </w:pPr>
            <w:r>
              <w:rPr>
                <w:rFonts w:hint="eastAsia"/>
              </w:rPr>
              <w:t>13.</w:t>
            </w:r>
            <w:r>
              <w:rPr>
                <w:rFonts w:ascii="宋体" w:hAnsi="宋体" w:hint="eastAsia"/>
              </w:rPr>
              <w:t>协助对</w:t>
            </w:r>
            <w:r>
              <w:rPr>
                <w:rFonts w:ascii="宋体" w:hAnsi="宋体"/>
              </w:rPr>
              <w:t>项目</w:t>
            </w:r>
            <w:r>
              <w:rPr>
                <w:rFonts w:ascii="宋体" w:hAnsi="宋体" w:hint="eastAsia"/>
              </w:rPr>
              <w:t>已征收补偿房屋的清租搬迁工作，提供专业法律支持。</w:t>
            </w:r>
          </w:p>
          <w:p>
            <w:pPr>
              <w:spacing w:after="78"/>
              <w:ind w:firstLine="420" w:firstLineChars="200"/>
              <w:jc w:val="left"/>
            </w:pPr>
            <w:r>
              <w:rPr>
                <w:rFonts w:hint="eastAsia"/>
              </w:rPr>
              <w:t>14.</w:t>
            </w:r>
            <w:r>
              <w:rPr>
                <w:rFonts w:ascii="宋体" w:hAnsi="宋体" w:hint="eastAsia"/>
              </w:rPr>
              <w:t>就本项目实施过程中产生的法律争议和纠纷，协助有关部门妥善处理，提供法律意见。</w:t>
            </w:r>
          </w:p>
          <w:p>
            <w:pPr>
              <w:spacing w:after="78"/>
              <w:ind w:firstLine="420" w:firstLineChars="200"/>
              <w:jc w:val="left"/>
              <w:rPr>
                <w:rFonts w:eastAsia="宋体"/>
                <w:szCs w:val="21"/>
              </w:rPr>
            </w:pPr>
            <w:r>
              <w:rPr>
                <w:rFonts w:hint="eastAsia"/>
              </w:rPr>
              <w:t>15.</w:t>
            </w:r>
            <w:r>
              <w:rPr>
                <w:rFonts w:ascii="宋体" w:hAnsi="宋体" w:hint="eastAsia"/>
              </w:rPr>
              <w:t>项目如需代理行政复议、听证、民事诉讼、行政诉讼、申请执行等案件的，由双方另行协商并签订委托代理合同。</w:t>
            </w:r>
          </w:p>
        </w:tc>
      </w:tr>
      <w:tr>
        <w:tblPrEx>
          <w:tblW w:w="0" w:type="auto"/>
          <w:jc w:val="center"/>
          <w:tblLayout w:type="fixed"/>
          <w:tblCellMar>
            <w:top w:w="0" w:type="dxa"/>
            <w:left w:w="108" w:type="dxa"/>
            <w:bottom w:w="0" w:type="dxa"/>
            <w:right w:w="108" w:type="dxa"/>
          </w:tblCellMar>
        </w:tblPrEx>
        <w:trPr>
          <w:trHeight w:val="657"/>
          <w:jc w:val="center"/>
        </w:trPr>
        <w:tc>
          <w:tcPr>
            <w:tcW w:w="1708"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b/>
                <w:kern w:val="0"/>
                <w:szCs w:val="21"/>
              </w:rPr>
            </w:pPr>
          </w:p>
        </w:tc>
        <w:tc>
          <w:tcPr>
            <w:tcW w:w="1080" w:type="dxa"/>
            <w:tcBorders>
              <w:top w:val="single" w:sz="4" w:space="0" w:color="auto"/>
              <w:left w:val="nil"/>
              <w:bottom w:val="single" w:sz="4" w:space="0" w:color="auto"/>
              <w:right w:val="single" w:sz="4" w:space="0" w:color="auto"/>
            </w:tcBorders>
            <w:vAlign w:val="center"/>
          </w:tcPr>
          <w:p>
            <w:pPr>
              <w:spacing w:after="78"/>
              <w:jc w:val="center"/>
              <w:rPr>
                <w:rFonts w:ascii="宋体" w:eastAsia="宋体" w:hAnsi="宋体" w:cs="Arial"/>
                <w:b/>
                <w:szCs w:val="21"/>
              </w:rPr>
            </w:pPr>
            <w:r>
              <w:rPr>
                <w:rFonts w:ascii="宋体" w:hAnsi="宋体" w:cs="Arial" w:hint="eastAsia"/>
                <w:b/>
              </w:rPr>
              <w:t>工作时间要求</w:t>
            </w:r>
          </w:p>
        </w:tc>
        <w:tc>
          <w:tcPr>
            <w:tcW w:w="6773" w:type="dxa"/>
            <w:gridSpan w:val="2"/>
            <w:tcBorders>
              <w:top w:val="single" w:sz="4" w:space="0" w:color="auto"/>
              <w:left w:val="nil"/>
              <w:bottom w:val="single" w:sz="4" w:space="0" w:color="auto"/>
              <w:right w:val="single" w:sz="4" w:space="0" w:color="auto"/>
            </w:tcBorders>
            <w:vAlign w:val="center"/>
          </w:tcPr>
          <w:p>
            <w:pPr>
              <w:spacing w:after="78"/>
              <w:ind w:firstLine="420"/>
              <w:jc w:val="left"/>
              <w:rPr>
                <w:rFonts w:eastAsia="宋体"/>
                <w:szCs w:val="21"/>
              </w:rPr>
            </w:pPr>
            <w:r>
              <w:rPr>
                <w:rFonts w:ascii="宋体" w:hAnsi="宋体" w:hint="eastAsia"/>
              </w:rPr>
              <w:t>中标方上下班时间需服从采购方的考勤要求。</w:t>
            </w:r>
          </w:p>
        </w:tc>
      </w:tr>
      <w:tr>
        <w:tblPrEx>
          <w:tblW w:w="0" w:type="auto"/>
          <w:jc w:val="center"/>
          <w:tblLayout w:type="fixed"/>
          <w:tblCellMar>
            <w:top w:w="0" w:type="dxa"/>
            <w:left w:w="108" w:type="dxa"/>
            <w:bottom w:w="0" w:type="dxa"/>
            <w:right w:w="108" w:type="dxa"/>
          </w:tblCellMar>
        </w:tblPrEx>
        <w:trPr>
          <w:trHeight w:val="725"/>
          <w:jc w:val="center"/>
        </w:trPr>
        <w:tc>
          <w:tcPr>
            <w:tcW w:w="1708"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b/>
                <w:kern w:val="0"/>
                <w:szCs w:val="21"/>
              </w:rPr>
            </w:pPr>
          </w:p>
        </w:tc>
        <w:tc>
          <w:tcPr>
            <w:tcW w:w="1080" w:type="dxa"/>
            <w:tcBorders>
              <w:top w:val="single" w:sz="4" w:space="0" w:color="auto"/>
              <w:left w:val="nil"/>
              <w:bottom w:val="single" w:sz="4" w:space="0" w:color="auto"/>
              <w:right w:val="single" w:sz="4" w:space="0" w:color="auto"/>
            </w:tcBorders>
            <w:vAlign w:val="center"/>
          </w:tcPr>
          <w:p>
            <w:pPr>
              <w:adjustRightInd w:val="0"/>
              <w:snapToGrid w:val="0"/>
              <w:spacing w:after="78"/>
              <w:jc w:val="center"/>
              <w:rPr>
                <w:rFonts w:ascii="宋体" w:eastAsia="宋体" w:hAnsi="宋体" w:cs="Arial"/>
                <w:b/>
                <w:szCs w:val="21"/>
              </w:rPr>
            </w:pPr>
            <w:r>
              <w:rPr>
                <w:rFonts w:ascii="宋体" w:hAnsi="宋体" w:cs="Arial" w:hint="eastAsia"/>
                <w:b/>
              </w:rPr>
              <w:t>工作质量要求</w:t>
            </w:r>
          </w:p>
        </w:tc>
        <w:tc>
          <w:tcPr>
            <w:tcW w:w="6773" w:type="dxa"/>
            <w:gridSpan w:val="2"/>
            <w:tcBorders>
              <w:top w:val="single" w:sz="4" w:space="0" w:color="auto"/>
              <w:left w:val="nil"/>
              <w:bottom w:val="single" w:sz="4" w:space="0" w:color="auto"/>
              <w:right w:val="single" w:sz="4" w:space="0" w:color="auto"/>
            </w:tcBorders>
            <w:vAlign w:val="center"/>
          </w:tcPr>
          <w:p>
            <w:pPr>
              <w:spacing w:after="78"/>
              <w:ind w:firstLine="412" w:firstLineChars="196"/>
              <w:rPr>
                <w:bCs/>
                <w:szCs w:val="21"/>
              </w:rPr>
            </w:pPr>
            <w:r>
              <w:rPr>
                <w:rFonts w:hint="eastAsia"/>
                <w:bCs/>
              </w:rPr>
              <w:t>1</w:t>
            </w:r>
            <w:r>
              <w:rPr>
                <w:rFonts w:ascii="宋体" w:hAnsi="宋体" w:hint="eastAsia"/>
                <w:bCs/>
              </w:rPr>
              <w:t>、根据国家有关法律法规、规章、政策规定，遵循合法、公平、公正、公开的原则，根据本项目规定的程序和时限，开展工作，提交成果。</w:t>
            </w:r>
          </w:p>
          <w:p>
            <w:pPr>
              <w:spacing w:after="78"/>
              <w:ind w:firstLine="412" w:firstLineChars="196"/>
              <w:rPr>
                <w:bCs/>
              </w:rPr>
            </w:pPr>
            <w:r>
              <w:rPr>
                <w:rFonts w:hint="eastAsia"/>
                <w:bCs/>
              </w:rPr>
              <w:t>2</w:t>
            </w:r>
            <w:r>
              <w:rPr>
                <w:rFonts w:ascii="宋体" w:hAnsi="宋体" w:hint="eastAsia"/>
                <w:bCs/>
              </w:rPr>
              <w:t>、中标供应商指派</w:t>
            </w:r>
            <w:r>
              <w:rPr>
                <w:rFonts w:hint="eastAsia"/>
                <w:bCs/>
              </w:rPr>
              <w:t>1</w:t>
            </w:r>
            <w:r>
              <w:rPr>
                <w:rFonts w:ascii="宋体" w:hAnsi="宋体" w:hint="eastAsia"/>
                <w:bCs/>
              </w:rPr>
              <w:t>名项目负责人负责随时与甲方进行联系协调工作。</w:t>
            </w:r>
          </w:p>
          <w:p>
            <w:pPr>
              <w:spacing w:after="78"/>
              <w:ind w:firstLine="412" w:firstLineChars="196"/>
              <w:rPr>
                <w:bCs/>
              </w:rPr>
            </w:pPr>
            <w:r>
              <w:rPr>
                <w:rFonts w:hint="eastAsia"/>
                <w:bCs/>
              </w:rPr>
              <w:t>3</w:t>
            </w:r>
            <w:r>
              <w:rPr>
                <w:rFonts w:ascii="宋体" w:hAnsi="宋体" w:hint="eastAsia"/>
                <w:bCs/>
              </w:rPr>
              <w:t>、保证征收相关法律工作的顺利进行，适时汇报工作进展，发现问题及时与甲方商议解决。</w:t>
            </w:r>
          </w:p>
          <w:p>
            <w:pPr>
              <w:spacing w:after="78"/>
              <w:ind w:firstLine="412" w:firstLineChars="196"/>
              <w:rPr>
                <w:bCs/>
              </w:rPr>
            </w:pPr>
            <w:r>
              <w:rPr>
                <w:rFonts w:hint="eastAsia"/>
                <w:bCs/>
              </w:rPr>
              <w:t>4</w:t>
            </w:r>
            <w:r>
              <w:rPr>
                <w:rFonts w:ascii="宋体" w:hAnsi="宋体" w:hint="eastAsia"/>
                <w:bCs/>
              </w:rPr>
              <w:t>、对甲方提供的文件及资料须妥善保管</w:t>
            </w:r>
            <w:r>
              <w:rPr>
                <w:rFonts w:hint="eastAsia"/>
                <w:bCs/>
              </w:rPr>
              <w:t>,</w:t>
            </w:r>
            <w:r>
              <w:rPr>
                <w:rFonts w:ascii="宋体" w:hAnsi="宋体" w:hint="eastAsia"/>
                <w:bCs/>
              </w:rPr>
              <w:t>并尽保密之责</w:t>
            </w:r>
            <w:r>
              <w:rPr>
                <w:rFonts w:hint="eastAsia"/>
                <w:bCs/>
              </w:rPr>
              <w:t>,</w:t>
            </w:r>
            <w:r>
              <w:rPr>
                <w:rFonts w:ascii="宋体" w:hAnsi="宋体" w:hint="eastAsia"/>
                <w:bCs/>
              </w:rPr>
              <w:t>未经同意不得擅自公开或泄漏给他人或挪作它用。</w:t>
            </w:r>
          </w:p>
          <w:p>
            <w:pPr>
              <w:spacing w:after="78"/>
              <w:ind w:firstLine="412" w:firstLineChars="196"/>
              <w:rPr>
                <w:bCs/>
              </w:rPr>
            </w:pPr>
            <w:r>
              <w:rPr>
                <w:rFonts w:hint="eastAsia"/>
                <w:bCs/>
              </w:rPr>
              <w:t>5</w:t>
            </w:r>
            <w:r>
              <w:rPr>
                <w:rFonts w:ascii="宋体" w:hAnsi="宋体" w:hint="eastAsia"/>
                <w:bCs/>
              </w:rPr>
              <w:t>、提交工作成果后，根据甲方要求，需要中标供应商对其工作成果的内容给予汇报、修改、解释说明的，中标供应商应予以协助，直到甲方确认为止。</w:t>
            </w:r>
          </w:p>
          <w:p>
            <w:pPr>
              <w:spacing w:after="78"/>
              <w:ind w:firstLine="412" w:firstLineChars="196"/>
              <w:rPr>
                <w:rFonts w:eastAsia="宋体"/>
                <w:bCs/>
                <w:szCs w:val="21"/>
              </w:rPr>
            </w:pPr>
            <w:r>
              <w:rPr>
                <w:rFonts w:hint="eastAsia"/>
                <w:bCs/>
              </w:rPr>
              <w:t>6</w:t>
            </w:r>
            <w:r>
              <w:rPr>
                <w:rFonts w:ascii="宋体" w:hAnsi="宋体" w:hint="eastAsia"/>
                <w:bCs/>
              </w:rPr>
              <w:t>、中标供应商应在双方约定的时间内完成本合同范围内的全部工作，同时将正式工作成果及相关资料移交给甲方，如甲方变更提交时间，另行通知。</w:t>
            </w:r>
          </w:p>
        </w:tc>
      </w:tr>
      <w:tr>
        <w:tblPrEx>
          <w:tblW w:w="0" w:type="auto"/>
          <w:jc w:val="center"/>
          <w:tblLayout w:type="fixed"/>
          <w:tblCellMar>
            <w:top w:w="0" w:type="dxa"/>
            <w:left w:w="108" w:type="dxa"/>
            <w:bottom w:w="0" w:type="dxa"/>
            <w:right w:w="108" w:type="dxa"/>
          </w:tblCellMar>
        </w:tblPrEx>
        <w:trPr>
          <w:trHeight w:val="725"/>
          <w:jc w:val="center"/>
        </w:trPr>
        <w:tc>
          <w:tcPr>
            <w:tcW w:w="1708"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b/>
                <w:kern w:val="0"/>
                <w:szCs w:val="21"/>
              </w:rPr>
            </w:pPr>
          </w:p>
        </w:tc>
        <w:tc>
          <w:tcPr>
            <w:tcW w:w="1080" w:type="dxa"/>
            <w:tcBorders>
              <w:top w:val="single" w:sz="4" w:space="0" w:color="auto"/>
              <w:left w:val="nil"/>
              <w:bottom w:val="single" w:sz="4" w:space="0" w:color="auto"/>
              <w:right w:val="single" w:sz="4" w:space="0" w:color="auto"/>
            </w:tcBorders>
            <w:vAlign w:val="center"/>
          </w:tcPr>
          <w:p>
            <w:pPr>
              <w:adjustRightInd w:val="0"/>
              <w:snapToGrid w:val="0"/>
              <w:spacing w:after="78"/>
              <w:jc w:val="center"/>
              <w:rPr>
                <w:rFonts w:ascii="宋体" w:eastAsia="宋体" w:hAnsi="宋体" w:cs="Arial"/>
                <w:b/>
                <w:szCs w:val="21"/>
              </w:rPr>
            </w:pPr>
            <w:r>
              <w:rPr>
                <w:rFonts w:ascii="宋体" w:hAnsi="宋体" w:cs="Arial" w:hint="eastAsia"/>
                <w:b/>
              </w:rPr>
              <w:t>服务成果要求</w:t>
            </w:r>
          </w:p>
        </w:tc>
        <w:tc>
          <w:tcPr>
            <w:tcW w:w="6773" w:type="dxa"/>
            <w:gridSpan w:val="2"/>
            <w:tcBorders>
              <w:top w:val="single" w:sz="4" w:space="0" w:color="auto"/>
              <w:left w:val="nil"/>
              <w:bottom w:val="single" w:sz="4" w:space="0" w:color="auto"/>
              <w:right w:val="single" w:sz="4" w:space="0" w:color="auto"/>
            </w:tcBorders>
            <w:vAlign w:val="center"/>
          </w:tcPr>
          <w:p>
            <w:pPr>
              <w:spacing w:after="78"/>
              <w:ind w:firstLine="412" w:firstLineChars="196"/>
              <w:rPr>
                <w:szCs w:val="21"/>
              </w:rPr>
            </w:pPr>
            <w:r>
              <w:t>1</w:t>
            </w:r>
            <w:r>
              <w:rPr>
                <w:rFonts w:ascii="宋体" w:hAnsi="宋体"/>
              </w:rPr>
              <w:t>、贯彻、落实、协调市区相关部门对项目的要求；</w:t>
            </w:r>
          </w:p>
          <w:p>
            <w:pPr>
              <w:spacing w:after="78"/>
              <w:ind w:firstLine="412" w:firstLineChars="196"/>
              <w:rPr>
                <w:rFonts w:eastAsia="宋体"/>
                <w:szCs w:val="21"/>
              </w:rPr>
            </w:pPr>
            <w:r>
              <w:t>2</w:t>
            </w:r>
            <w:r>
              <w:rPr>
                <w:rFonts w:ascii="宋体" w:hAnsi="宋体"/>
              </w:rPr>
              <w:t>、符合各项法规、规范、标准、政策的要求；</w:t>
            </w:r>
          </w:p>
        </w:tc>
      </w:tr>
      <w:tr>
        <w:tblPrEx>
          <w:tblW w:w="0" w:type="auto"/>
          <w:jc w:val="center"/>
          <w:tblLayout w:type="fixed"/>
          <w:tblCellMar>
            <w:top w:w="0" w:type="dxa"/>
            <w:left w:w="108" w:type="dxa"/>
            <w:bottom w:w="0" w:type="dxa"/>
            <w:right w:w="108" w:type="dxa"/>
          </w:tblCellMar>
        </w:tblPrEx>
        <w:trPr>
          <w:trHeight w:val="2977"/>
          <w:jc w:val="center"/>
        </w:trPr>
        <w:tc>
          <w:tcPr>
            <w:tcW w:w="1708"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after="78"/>
              <w:jc w:val="center"/>
              <w:rPr>
                <w:rFonts w:ascii="宋体" w:eastAsia="宋体" w:hAnsi="宋体"/>
                <w:b/>
                <w:kern w:val="0"/>
                <w:szCs w:val="21"/>
              </w:rPr>
            </w:pPr>
            <w:r>
              <w:rPr>
                <w:rFonts w:ascii="宋体" w:hAnsi="宋体" w:hint="eastAsia"/>
                <w:b/>
                <w:kern w:val="0"/>
              </w:rPr>
              <w:t>人员要求</w:t>
            </w:r>
          </w:p>
        </w:tc>
        <w:tc>
          <w:tcPr>
            <w:tcW w:w="7853" w:type="dxa"/>
            <w:gridSpan w:val="3"/>
            <w:tcBorders>
              <w:top w:val="single" w:sz="4" w:space="0" w:color="auto"/>
              <w:left w:val="nil"/>
              <w:bottom w:val="single" w:sz="4" w:space="0" w:color="auto"/>
              <w:right w:val="single" w:sz="4" w:space="0" w:color="auto"/>
            </w:tcBorders>
            <w:vAlign w:val="center"/>
          </w:tcPr>
          <w:tbl>
            <w:tblPr>
              <w:tblStyle w:val="TableNormal"/>
              <w:tblW w:w="649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91"/>
              <w:gridCol w:w="1964"/>
              <w:gridCol w:w="1443"/>
            </w:tblGrid>
            <w:tr>
              <w:tblPrEx>
                <w:tblW w:w="649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97"/>
              </w:trPr>
              <w:tc>
                <w:tcPr>
                  <w:tcW w:w="3091" w:type="dxa"/>
                  <w:tcBorders>
                    <w:top w:val="single" w:sz="4" w:space="0" w:color="auto"/>
                    <w:left w:val="single" w:sz="4" w:space="0" w:color="auto"/>
                    <w:bottom w:val="single" w:sz="4" w:space="0" w:color="auto"/>
                    <w:right w:val="single" w:sz="4" w:space="0" w:color="auto"/>
                  </w:tcBorders>
                </w:tcPr>
                <w:p>
                  <w:pPr>
                    <w:spacing w:before="100" w:beforeAutospacing="1" w:after="78"/>
                    <w:jc w:val="center"/>
                    <w:rPr>
                      <w:rFonts w:eastAsia="宋体"/>
                      <w:szCs w:val="21"/>
                    </w:rPr>
                  </w:pPr>
                  <w:r>
                    <w:rPr>
                      <w:rFonts w:ascii="宋体" w:hAnsi="宋体"/>
                    </w:rPr>
                    <w:t>人员类别</w:t>
                  </w:r>
                </w:p>
              </w:tc>
              <w:tc>
                <w:tcPr>
                  <w:tcW w:w="1964" w:type="dxa"/>
                  <w:tcBorders>
                    <w:top w:val="single" w:sz="4" w:space="0" w:color="auto"/>
                    <w:left w:val="single" w:sz="4" w:space="0" w:color="auto"/>
                    <w:bottom w:val="single" w:sz="4" w:space="0" w:color="auto"/>
                    <w:right w:val="single" w:sz="4" w:space="0" w:color="auto"/>
                  </w:tcBorders>
                </w:tcPr>
                <w:p>
                  <w:pPr>
                    <w:spacing w:before="100" w:beforeAutospacing="1" w:after="78"/>
                    <w:jc w:val="center"/>
                    <w:rPr>
                      <w:rFonts w:eastAsia="宋体"/>
                      <w:szCs w:val="21"/>
                    </w:rPr>
                  </w:pPr>
                  <w:r>
                    <w:rPr>
                      <w:rFonts w:ascii="宋体" w:hAnsi="宋体"/>
                    </w:rPr>
                    <w:t>人数</w:t>
                  </w:r>
                </w:p>
              </w:tc>
              <w:tc>
                <w:tcPr>
                  <w:tcW w:w="1443" w:type="dxa"/>
                  <w:tcBorders>
                    <w:top w:val="single" w:sz="4" w:space="0" w:color="auto"/>
                    <w:left w:val="single" w:sz="4" w:space="0" w:color="auto"/>
                    <w:bottom w:val="single" w:sz="4" w:space="0" w:color="auto"/>
                    <w:right w:val="single" w:sz="4" w:space="0" w:color="auto"/>
                  </w:tcBorders>
                </w:tcPr>
                <w:p>
                  <w:pPr>
                    <w:spacing w:before="100" w:beforeAutospacing="1" w:after="78"/>
                    <w:jc w:val="center"/>
                    <w:rPr>
                      <w:rFonts w:eastAsia="宋体"/>
                      <w:szCs w:val="21"/>
                    </w:rPr>
                  </w:pPr>
                  <w:r>
                    <w:rPr>
                      <w:rFonts w:ascii="宋体" w:hAnsi="宋体"/>
                    </w:rPr>
                    <w:t>备注</w:t>
                  </w:r>
                </w:p>
              </w:tc>
            </w:tr>
            <w:tr>
              <w:tblPrEx>
                <w:tblW w:w="6498" w:type="dxa"/>
                <w:tblInd w:w="135" w:type="dxa"/>
                <w:tblLayout w:type="fixed"/>
                <w:tblCellMar>
                  <w:top w:w="0" w:type="dxa"/>
                  <w:left w:w="108" w:type="dxa"/>
                  <w:bottom w:w="0" w:type="dxa"/>
                  <w:right w:w="108" w:type="dxa"/>
                </w:tblCellMar>
              </w:tblPrEx>
              <w:trPr>
                <w:trHeight w:val="397"/>
              </w:trPr>
              <w:tc>
                <w:tcPr>
                  <w:tcW w:w="3091" w:type="dxa"/>
                  <w:tcBorders>
                    <w:top w:val="single" w:sz="4" w:space="0" w:color="auto"/>
                    <w:left w:val="single" w:sz="4" w:space="0" w:color="auto"/>
                    <w:bottom w:val="single" w:sz="4" w:space="0" w:color="auto"/>
                    <w:right w:val="single" w:sz="4" w:space="0" w:color="auto"/>
                  </w:tcBorders>
                </w:tcPr>
                <w:p>
                  <w:pPr>
                    <w:spacing w:before="100" w:beforeAutospacing="1" w:after="78"/>
                    <w:jc w:val="center"/>
                    <w:rPr>
                      <w:rFonts w:eastAsia="宋体"/>
                      <w:szCs w:val="21"/>
                    </w:rPr>
                  </w:pPr>
                  <w:r>
                    <w:rPr>
                      <w:rFonts w:ascii="宋体" w:hAnsi="宋体"/>
                    </w:rPr>
                    <w:t>项目总负责人</w:t>
                  </w:r>
                  <w:r>
                    <w:rPr>
                      <w:rFonts w:ascii="宋体" w:hAnsi="宋体" w:hint="eastAsia"/>
                    </w:rPr>
                    <w:t>（执业律师）</w:t>
                  </w:r>
                </w:p>
              </w:tc>
              <w:tc>
                <w:tcPr>
                  <w:tcW w:w="1964" w:type="dxa"/>
                  <w:tcBorders>
                    <w:top w:val="single" w:sz="4" w:space="0" w:color="auto"/>
                    <w:left w:val="single" w:sz="4" w:space="0" w:color="auto"/>
                    <w:bottom w:val="single" w:sz="4" w:space="0" w:color="auto"/>
                    <w:right w:val="single" w:sz="4" w:space="0" w:color="auto"/>
                  </w:tcBorders>
                </w:tcPr>
                <w:p>
                  <w:pPr>
                    <w:spacing w:before="100" w:beforeAutospacing="1" w:after="78"/>
                    <w:jc w:val="center"/>
                    <w:rPr>
                      <w:rFonts w:eastAsia="宋体"/>
                      <w:szCs w:val="21"/>
                    </w:rPr>
                  </w:pPr>
                  <w:r>
                    <w:t>1</w:t>
                  </w:r>
                </w:p>
              </w:tc>
              <w:tc>
                <w:tcPr>
                  <w:tcW w:w="1443" w:type="dxa"/>
                  <w:vMerge w:val="restart"/>
                  <w:tcBorders>
                    <w:top w:val="nil"/>
                    <w:left w:val="single" w:sz="4" w:space="0" w:color="auto"/>
                    <w:bottom w:val="single" w:sz="4" w:space="0" w:color="auto"/>
                    <w:right w:val="single" w:sz="4" w:space="0" w:color="auto"/>
                  </w:tcBorders>
                  <w:vAlign w:val="center"/>
                </w:tcPr>
                <w:p>
                  <w:pPr>
                    <w:spacing w:before="100" w:beforeAutospacing="1" w:after="78"/>
                    <w:jc w:val="center"/>
                    <w:rPr>
                      <w:rFonts w:eastAsia="宋体"/>
                      <w:szCs w:val="21"/>
                    </w:rPr>
                  </w:pPr>
                </w:p>
              </w:tc>
            </w:tr>
            <w:tr>
              <w:tblPrEx>
                <w:tblW w:w="6498" w:type="dxa"/>
                <w:tblInd w:w="135" w:type="dxa"/>
                <w:tblLayout w:type="fixed"/>
                <w:tblCellMar>
                  <w:top w:w="0" w:type="dxa"/>
                  <w:left w:w="108" w:type="dxa"/>
                  <w:bottom w:w="0" w:type="dxa"/>
                  <w:right w:w="108" w:type="dxa"/>
                </w:tblCellMar>
              </w:tblPrEx>
              <w:trPr>
                <w:trHeight w:val="397"/>
              </w:trPr>
              <w:tc>
                <w:tcPr>
                  <w:tcW w:w="3091" w:type="dxa"/>
                  <w:tcBorders>
                    <w:top w:val="single" w:sz="4" w:space="0" w:color="auto"/>
                    <w:left w:val="single" w:sz="4" w:space="0" w:color="auto"/>
                    <w:bottom w:val="single" w:sz="4" w:space="0" w:color="auto"/>
                    <w:right w:val="single" w:sz="4" w:space="0" w:color="auto"/>
                  </w:tcBorders>
                </w:tcPr>
                <w:p>
                  <w:pPr>
                    <w:spacing w:before="100" w:beforeAutospacing="1" w:after="78"/>
                    <w:jc w:val="center"/>
                    <w:rPr>
                      <w:rFonts w:eastAsia="宋体"/>
                      <w:szCs w:val="21"/>
                    </w:rPr>
                  </w:pPr>
                  <w:r>
                    <w:rPr>
                      <w:rFonts w:ascii="宋体" w:hAnsi="宋体" w:hint="eastAsia"/>
                    </w:rPr>
                    <w:t>项目工作人员</w:t>
                  </w:r>
                  <w:r>
                    <w:rPr>
                      <w:rFonts w:hint="eastAsia"/>
                    </w:rPr>
                    <w:t>1</w:t>
                  </w:r>
                  <w:r>
                    <w:rPr>
                      <w:rFonts w:ascii="宋体" w:hAnsi="宋体" w:hint="eastAsia"/>
                    </w:rPr>
                    <w:t>（执业律师）</w:t>
                  </w:r>
                </w:p>
              </w:tc>
              <w:tc>
                <w:tcPr>
                  <w:tcW w:w="1964" w:type="dxa"/>
                  <w:tcBorders>
                    <w:top w:val="single" w:sz="4" w:space="0" w:color="auto"/>
                    <w:left w:val="single" w:sz="4" w:space="0" w:color="auto"/>
                    <w:bottom w:val="single" w:sz="4" w:space="0" w:color="auto"/>
                    <w:right w:val="single" w:sz="4" w:space="0" w:color="auto"/>
                  </w:tcBorders>
                </w:tcPr>
                <w:p>
                  <w:pPr>
                    <w:spacing w:before="100" w:beforeAutospacing="1" w:after="78"/>
                    <w:jc w:val="center"/>
                    <w:rPr>
                      <w:rFonts w:eastAsia="宋体"/>
                      <w:szCs w:val="21"/>
                    </w:rPr>
                  </w:pPr>
                  <w:r>
                    <w:rPr>
                      <w:rFonts w:hint="eastAsia"/>
                    </w:rPr>
                    <w:t>1</w:t>
                  </w:r>
                </w:p>
              </w:tc>
              <w:tc>
                <w:tcPr>
                  <w:tcW w:w="1443" w:type="dxa"/>
                  <w:vMerge/>
                  <w:tcBorders>
                    <w:top w:val="nil"/>
                    <w:left w:val="single" w:sz="4" w:space="0" w:color="auto"/>
                    <w:bottom w:val="single" w:sz="4" w:space="0" w:color="auto"/>
                    <w:right w:val="single" w:sz="4" w:space="0" w:color="auto"/>
                  </w:tcBorders>
                  <w:vAlign w:val="center"/>
                </w:tcPr>
                <w:p>
                  <w:pPr>
                    <w:widowControl/>
                    <w:jc w:val="left"/>
                    <w:rPr>
                      <w:rFonts w:eastAsia="宋体"/>
                      <w:szCs w:val="21"/>
                    </w:rPr>
                  </w:pPr>
                </w:p>
              </w:tc>
            </w:tr>
            <w:tr>
              <w:tblPrEx>
                <w:tblW w:w="6498" w:type="dxa"/>
                <w:tblInd w:w="135" w:type="dxa"/>
                <w:tblLayout w:type="fixed"/>
                <w:tblCellMar>
                  <w:top w:w="0" w:type="dxa"/>
                  <w:left w:w="108" w:type="dxa"/>
                  <w:bottom w:w="0" w:type="dxa"/>
                  <w:right w:w="108" w:type="dxa"/>
                </w:tblCellMar>
              </w:tblPrEx>
              <w:trPr>
                <w:trHeight w:val="397"/>
              </w:trPr>
              <w:tc>
                <w:tcPr>
                  <w:tcW w:w="3091" w:type="dxa"/>
                  <w:tcBorders>
                    <w:top w:val="single" w:sz="4" w:space="0" w:color="auto"/>
                    <w:left w:val="single" w:sz="4" w:space="0" w:color="auto"/>
                    <w:bottom w:val="single" w:sz="4" w:space="0" w:color="auto"/>
                    <w:right w:val="single" w:sz="4" w:space="0" w:color="auto"/>
                  </w:tcBorders>
                </w:tcPr>
                <w:p>
                  <w:pPr>
                    <w:spacing w:before="100" w:beforeAutospacing="1" w:after="78"/>
                    <w:jc w:val="center"/>
                    <w:rPr>
                      <w:rFonts w:eastAsia="宋体"/>
                      <w:szCs w:val="21"/>
                    </w:rPr>
                  </w:pPr>
                  <w:r>
                    <w:rPr>
                      <w:rFonts w:ascii="宋体" w:hAnsi="宋体" w:hint="eastAsia"/>
                    </w:rPr>
                    <w:t>项目工作人员</w:t>
                  </w:r>
                  <w:r>
                    <w:rPr>
                      <w:rFonts w:hint="eastAsia"/>
                    </w:rPr>
                    <w:t>2</w:t>
                  </w:r>
                  <w:r>
                    <w:rPr>
                      <w:rFonts w:ascii="宋体" w:hAnsi="宋体" w:hint="eastAsia"/>
                    </w:rPr>
                    <w:t>（律师助理）</w:t>
                  </w:r>
                </w:p>
              </w:tc>
              <w:tc>
                <w:tcPr>
                  <w:tcW w:w="1964" w:type="dxa"/>
                  <w:tcBorders>
                    <w:top w:val="single" w:sz="4" w:space="0" w:color="auto"/>
                    <w:left w:val="single" w:sz="4" w:space="0" w:color="auto"/>
                    <w:bottom w:val="single" w:sz="4" w:space="0" w:color="auto"/>
                    <w:right w:val="single" w:sz="4" w:space="0" w:color="auto"/>
                  </w:tcBorders>
                </w:tcPr>
                <w:p>
                  <w:pPr>
                    <w:spacing w:before="100" w:beforeAutospacing="1" w:after="78"/>
                    <w:jc w:val="center"/>
                    <w:rPr>
                      <w:rFonts w:eastAsia="宋体"/>
                      <w:szCs w:val="21"/>
                    </w:rPr>
                  </w:pPr>
                  <w:r>
                    <w:rPr>
                      <w:rFonts w:hint="eastAsia"/>
                    </w:rPr>
                    <w:t>2</w:t>
                  </w:r>
                </w:p>
              </w:tc>
              <w:tc>
                <w:tcPr>
                  <w:tcW w:w="1443" w:type="dxa"/>
                  <w:vMerge/>
                  <w:tcBorders>
                    <w:top w:val="nil"/>
                    <w:left w:val="single" w:sz="4" w:space="0" w:color="auto"/>
                    <w:bottom w:val="single" w:sz="4" w:space="0" w:color="auto"/>
                    <w:right w:val="single" w:sz="4" w:space="0" w:color="auto"/>
                  </w:tcBorders>
                  <w:vAlign w:val="center"/>
                </w:tcPr>
                <w:p>
                  <w:pPr>
                    <w:widowControl/>
                    <w:jc w:val="left"/>
                    <w:rPr>
                      <w:rFonts w:eastAsia="宋体"/>
                      <w:szCs w:val="21"/>
                    </w:rPr>
                  </w:pPr>
                </w:p>
              </w:tc>
            </w:tr>
            <w:tr>
              <w:tblPrEx>
                <w:tblW w:w="6498" w:type="dxa"/>
                <w:tblInd w:w="135" w:type="dxa"/>
                <w:tblLayout w:type="fixed"/>
                <w:tblCellMar>
                  <w:top w:w="0" w:type="dxa"/>
                  <w:left w:w="108" w:type="dxa"/>
                  <w:bottom w:w="0" w:type="dxa"/>
                  <w:right w:w="108" w:type="dxa"/>
                </w:tblCellMar>
              </w:tblPrEx>
              <w:trPr>
                <w:trHeight w:val="352"/>
              </w:trPr>
              <w:tc>
                <w:tcPr>
                  <w:tcW w:w="3091" w:type="dxa"/>
                  <w:tcBorders>
                    <w:top w:val="single" w:sz="4" w:space="0" w:color="auto"/>
                    <w:left w:val="single" w:sz="4" w:space="0" w:color="auto"/>
                    <w:bottom w:val="single" w:sz="4" w:space="0" w:color="auto"/>
                    <w:right w:val="single" w:sz="4" w:space="0" w:color="auto"/>
                  </w:tcBorders>
                </w:tcPr>
                <w:p>
                  <w:pPr>
                    <w:spacing w:before="100" w:beforeAutospacing="1" w:after="78"/>
                    <w:jc w:val="center"/>
                    <w:rPr>
                      <w:rFonts w:eastAsia="宋体"/>
                      <w:szCs w:val="21"/>
                    </w:rPr>
                  </w:pPr>
                  <w:r>
                    <w:rPr>
                      <w:rFonts w:ascii="宋体" w:hAnsi="宋体" w:hint="eastAsia"/>
                    </w:rPr>
                    <w:t>合计</w:t>
                  </w:r>
                </w:p>
              </w:tc>
              <w:tc>
                <w:tcPr>
                  <w:tcW w:w="1964" w:type="dxa"/>
                  <w:tcBorders>
                    <w:top w:val="single" w:sz="4" w:space="0" w:color="auto"/>
                    <w:left w:val="single" w:sz="4" w:space="0" w:color="auto"/>
                    <w:bottom w:val="single" w:sz="4" w:space="0" w:color="auto"/>
                    <w:right w:val="single" w:sz="4" w:space="0" w:color="auto"/>
                  </w:tcBorders>
                </w:tcPr>
                <w:p>
                  <w:pPr>
                    <w:spacing w:before="100" w:beforeAutospacing="1" w:after="78"/>
                    <w:jc w:val="center"/>
                    <w:rPr>
                      <w:rFonts w:eastAsia="宋体"/>
                      <w:szCs w:val="21"/>
                    </w:rPr>
                  </w:pPr>
                  <w:r>
                    <w:rPr>
                      <w:rFonts w:hint="eastAsia"/>
                    </w:rPr>
                    <w:t>4</w:t>
                  </w:r>
                </w:p>
              </w:tc>
              <w:tc>
                <w:tcPr>
                  <w:tcW w:w="1443" w:type="dxa"/>
                  <w:vMerge/>
                  <w:tcBorders>
                    <w:top w:val="nil"/>
                    <w:left w:val="single" w:sz="4" w:space="0" w:color="auto"/>
                    <w:bottom w:val="single" w:sz="4" w:space="0" w:color="auto"/>
                    <w:right w:val="single" w:sz="4" w:space="0" w:color="auto"/>
                  </w:tcBorders>
                  <w:vAlign w:val="center"/>
                </w:tcPr>
                <w:p>
                  <w:pPr>
                    <w:widowControl/>
                    <w:jc w:val="left"/>
                    <w:rPr>
                      <w:rFonts w:eastAsia="宋体"/>
                      <w:szCs w:val="21"/>
                    </w:rPr>
                  </w:pPr>
                </w:p>
              </w:tc>
            </w:tr>
          </w:tbl>
          <w:p>
            <w:pPr>
              <w:spacing w:after="78"/>
              <w:ind w:firstLine="420" w:firstLineChars="200"/>
              <w:rPr>
                <w:rFonts w:ascii="宋体" w:hAnsi="宋体"/>
              </w:rPr>
            </w:pPr>
            <w:r>
              <w:rPr>
                <w:rFonts w:ascii="宋体" w:hAnsi="宋体" w:hint="eastAsia"/>
              </w:rPr>
              <w:t>注：其中攻坚谈判期</w:t>
            </w:r>
            <w:r>
              <w:rPr>
                <w:rFonts w:hint="eastAsia"/>
              </w:rPr>
              <w:t>4</w:t>
            </w:r>
            <w:r>
              <w:rPr>
                <w:rFonts w:ascii="宋体" w:hAnsi="宋体" w:hint="eastAsia"/>
              </w:rPr>
              <w:t>名人员均需到采购方办公场所驻点办公；清租搬迁期需</w:t>
            </w:r>
            <w:r>
              <w:rPr>
                <w:rFonts w:hint="eastAsia"/>
              </w:rPr>
              <w:t>1</w:t>
            </w:r>
            <w:r>
              <w:rPr>
                <w:rFonts w:ascii="宋体" w:hAnsi="宋体" w:hint="eastAsia"/>
              </w:rPr>
              <w:t>名执业律师按需提供法律支撑。</w:t>
            </w:r>
          </w:p>
          <w:p>
            <w:pPr>
              <w:spacing w:after="78"/>
              <w:ind w:firstLine="420" w:firstLineChars="200"/>
              <w:rPr>
                <w:rFonts w:ascii="Times New Roman" w:hAnsi="Times New Roman"/>
              </w:rPr>
            </w:pPr>
            <w:r>
              <w:rPr>
                <w:rFonts w:ascii="宋体" w:hAnsi="宋体" w:hint="eastAsia"/>
              </w:rPr>
              <w:t>出参与人员名单、项目参与时间（需服从采购方的考勤要求），上述人员在</w:t>
            </w:r>
          </w:p>
          <w:p>
            <w:pPr>
              <w:spacing w:after="78"/>
              <w:rPr>
                <w:rFonts w:eastAsia="宋体"/>
                <w:szCs w:val="21"/>
              </w:rPr>
            </w:pPr>
            <w:r>
              <w:rPr>
                <w:rFonts w:ascii="宋体" w:hAnsi="宋体" w:hint="eastAsia"/>
              </w:rPr>
              <w:t>项目实施过程中不能更换，如确需更换，必须得到采购方的书面同意。</w:t>
            </w:r>
          </w:p>
        </w:tc>
      </w:tr>
      <w:tr>
        <w:tblPrEx>
          <w:tblW w:w="0" w:type="auto"/>
          <w:jc w:val="center"/>
          <w:tblLayout w:type="fixed"/>
          <w:tblCellMar>
            <w:top w:w="0" w:type="dxa"/>
            <w:left w:w="108" w:type="dxa"/>
            <w:bottom w:w="0" w:type="dxa"/>
            <w:right w:w="108" w:type="dxa"/>
          </w:tblCellMar>
        </w:tblPrEx>
        <w:trPr>
          <w:trHeight w:val="590"/>
          <w:jc w:val="center"/>
        </w:trPr>
        <w:tc>
          <w:tcPr>
            <w:tcW w:w="1708"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after="78" w:line="360" w:lineRule="auto"/>
              <w:jc w:val="center"/>
              <w:rPr>
                <w:rFonts w:ascii="宋体" w:eastAsia="宋体" w:hAnsi="宋体"/>
                <w:b/>
                <w:kern w:val="0"/>
                <w:szCs w:val="21"/>
              </w:rPr>
            </w:pPr>
            <w:r>
              <w:rPr>
                <w:rFonts w:ascii="宋体" w:hAnsi="宋体" w:hint="eastAsia"/>
                <w:b/>
                <w:kern w:val="0"/>
              </w:rPr>
              <w:t>设备要求</w:t>
            </w:r>
          </w:p>
        </w:tc>
        <w:tc>
          <w:tcPr>
            <w:tcW w:w="7853" w:type="dxa"/>
            <w:gridSpan w:val="3"/>
            <w:tcBorders>
              <w:top w:val="single" w:sz="4" w:space="0" w:color="auto"/>
              <w:left w:val="nil"/>
              <w:bottom w:val="single" w:sz="4" w:space="0" w:color="auto"/>
              <w:right w:val="single" w:sz="4" w:space="0" w:color="auto"/>
            </w:tcBorders>
            <w:vAlign w:val="center"/>
          </w:tcPr>
          <w:p>
            <w:pPr>
              <w:spacing w:after="78"/>
              <w:ind w:left="420" w:leftChars="200"/>
              <w:jc w:val="left"/>
              <w:rPr>
                <w:rFonts w:eastAsia="宋体"/>
                <w:szCs w:val="21"/>
              </w:rPr>
            </w:pPr>
            <w:r>
              <w:rPr>
                <w:rFonts w:ascii="宋体" w:hAnsi="宋体"/>
              </w:rPr>
              <w:t>电脑不少于</w:t>
            </w:r>
            <w:r>
              <w:rPr>
                <w:rFonts w:hint="eastAsia"/>
              </w:rPr>
              <w:t>2</w:t>
            </w:r>
            <w:r>
              <w:rPr>
                <w:rFonts w:ascii="宋体" w:hAnsi="宋体"/>
              </w:rPr>
              <w:t>台</w:t>
            </w:r>
            <w:r>
              <w:rPr>
                <w:rFonts w:ascii="宋体" w:hAnsi="宋体" w:hint="eastAsia"/>
              </w:rPr>
              <w:t>。</w:t>
            </w:r>
            <w:r>
              <w:t xml:space="preserve">         </w:t>
            </w:r>
          </w:p>
        </w:tc>
      </w:tr>
      <w:tr>
        <w:tblPrEx>
          <w:tblW w:w="0" w:type="auto"/>
          <w:jc w:val="center"/>
          <w:tblLayout w:type="fixed"/>
          <w:tblCellMar>
            <w:top w:w="0" w:type="dxa"/>
            <w:left w:w="108" w:type="dxa"/>
            <w:bottom w:w="0" w:type="dxa"/>
            <w:right w:w="108" w:type="dxa"/>
          </w:tblCellMar>
        </w:tblPrEx>
        <w:trPr>
          <w:trHeight w:val="878"/>
          <w:jc w:val="center"/>
        </w:trPr>
        <w:tc>
          <w:tcPr>
            <w:tcW w:w="1708" w:type="dxa"/>
            <w:vMerge w:val="restart"/>
            <w:tcBorders>
              <w:top w:val="nil"/>
              <w:left w:val="single" w:sz="4" w:space="0" w:color="auto"/>
              <w:bottom w:val="single" w:sz="4" w:space="0" w:color="auto"/>
              <w:right w:val="single" w:sz="4" w:space="0" w:color="auto"/>
            </w:tcBorders>
            <w:vAlign w:val="center"/>
          </w:tcPr>
          <w:p>
            <w:pPr>
              <w:adjustRightInd w:val="0"/>
              <w:snapToGrid w:val="0"/>
              <w:spacing w:after="78" w:line="360" w:lineRule="auto"/>
              <w:jc w:val="center"/>
              <w:rPr>
                <w:rFonts w:ascii="宋体" w:eastAsia="宋体" w:hAnsi="宋体"/>
                <w:b/>
                <w:sz w:val="24"/>
                <w:szCs w:val="24"/>
              </w:rPr>
            </w:pPr>
            <w:r>
              <w:rPr>
                <w:rFonts w:ascii="宋体" w:hAnsi="宋体" w:hint="eastAsia"/>
                <w:b/>
                <w:kern w:val="0"/>
              </w:rPr>
              <w:t>售后服务内容要求</w:t>
            </w:r>
          </w:p>
        </w:tc>
        <w:tc>
          <w:tcPr>
            <w:tcW w:w="1532" w:type="dxa"/>
            <w:gridSpan w:val="2"/>
            <w:tcBorders>
              <w:top w:val="single" w:sz="4" w:space="0" w:color="auto"/>
              <w:left w:val="nil"/>
              <w:bottom w:val="single" w:sz="4" w:space="0" w:color="auto"/>
              <w:right w:val="single" w:sz="4" w:space="0" w:color="auto"/>
            </w:tcBorders>
            <w:vAlign w:val="center"/>
          </w:tcPr>
          <w:p>
            <w:pPr>
              <w:autoSpaceDE w:val="0"/>
              <w:autoSpaceDN w:val="0"/>
              <w:adjustRightInd w:val="0"/>
              <w:snapToGrid w:val="0"/>
              <w:spacing w:after="78"/>
              <w:jc w:val="center"/>
              <w:rPr>
                <w:rFonts w:eastAsia="宋体"/>
                <w:kern w:val="0"/>
                <w:szCs w:val="21"/>
              </w:rPr>
            </w:pPr>
            <w:r>
              <w:rPr>
                <w:rFonts w:ascii="宋体" w:hAnsi="宋体"/>
                <w:kern w:val="0"/>
              </w:rPr>
              <w:t>内容</w:t>
            </w:r>
          </w:p>
        </w:tc>
        <w:tc>
          <w:tcPr>
            <w:tcW w:w="6321" w:type="dxa"/>
            <w:tcBorders>
              <w:top w:val="single" w:sz="4" w:space="0" w:color="auto"/>
              <w:left w:val="nil"/>
              <w:bottom w:val="single" w:sz="4" w:space="0" w:color="auto"/>
              <w:right w:val="single" w:sz="4" w:space="0" w:color="auto"/>
            </w:tcBorders>
            <w:vAlign w:val="center"/>
          </w:tcPr>
          <w:p>
            <w:pPr>
              <w:autoSpaceDE w:val="0"/>
              <w:autoSpaceDN w:val="0"/>
              <w:adjustRightInd w:val="0"/>
              <w:snapToGrid w:val="0"/>
              <w:spacing w:after="78"/>
              <w:ind w:firstLine="420" w:firstLineChars="200"/>
              <w:rPr>
                <w:rFonts w:eastAsia="宋体"/>
                <w:kern w:val="0"/>
                <w:szCs w:val="21"/>
              </w:rPr>
            </w:pPr>
            <w:r>
              <w:rPr>
                <w:rFonts w:ascii="宋体" w:hAnsi="宋体"/>
                <w:kern w:val="0"/>
              </w:rPr>
              <w:t>中标方应按照合同规定，在限定期限内完成该项目的</w:t>
            </w:r>
            <w:r>
              <w:rPr>
                <w:rFonts w:ascii="宋体" w:hAnsi="宋体" w:hint="eastAsia"/>
                <w:kern w:val="0"/>
              </w:rPr>
              <w:t>相关法律</w:t>
            </w:r>
            <w:r>
              <w:rPr>
                <w:rFonts w:ascii="宋体" w:hAnsi="宋体"/>
                <w:kern w:val="0"/>
              </w:rPr>
              <w:t>编制、汇报、报批等工作。项目售后服务期限自最终成果提交采购方之日起</w:t>
            </w:r>
            <w:r>
              <w:rPr>
                <w:rFonts w:hint="eastAsia"/>
                <w:kern w:val="0"/>
              </w:rPr>
              <w:t>1</w:t>
            </w:r>
            <w:r>
              <w:rPr>
                <w:rFonts w:ascii="宋体" w:hAnsi="宋体" w:hint="eastAsia"/>
                <w:kern w:val="0"/>
              </w:rPr>
              <w:t>年</w:t>
            </w:r>
            <w:r>
              <w:rPr>
                <w:rFonts w:ascii="宋体" w:hAnsi="宋体"/>
                <w:kern w:val="0"/>
              </w:rPr>
              <w:t>内，中标方须与采购方保持全面沟通，随时跟进。在售后服务期限内提供相关咨询、协调等技术支持。</w:t>
            </w:r>
          </w:p>
        </w:tc>
      </w:tr>
      <w:tr>
        <w:tblPrEx>
          <w:tblW w:w="0" w:type="auto"/>
          <w:jc w:val="center"/>
          <w:tblLayout w:type="fixed"/>
          <w:tblCellMar>
            <w:top w:w="0" w:type="dxa"/>
            <w:left w:w="108" w:type="dxa"/>
            <w:bottom w:w="0" w:type="dxa"/>
            <w:right w:w="108" w:type="dxa"/>
          </w:tblCellMar>
        </w:tblPrEx>
        <w:trPr>
          <w:trHeight w:val="189"/>
          <w:jc w:val="center"/>
        </w:trPr>
        <w:tc>
          <w:tcPr>
            <w:tcW w:w="1708" w:type="dxa"/>
            <w:vMerge/>
            <w:tcBorders>
              <w:top w:val="nil"/>
              <w:left w:val="single" w:sz="4" w:space="0" w:color="auto"/>
              <w:bottom w:val="single" w:sz="4" w:space="0" w:color="auto"/>
              <w:right w:val="single" w:sz="4" w:space="0" w:color="auto"/>
            </w:tcBorders>
            <w:vAlign w:val="center"/>
          </w:tcPr>
          <w:p>
            <w:pPr>
              <w:widowControl/>
              <w:jc w:val="left"/>
              <w:rPr>
                <w:rFonts w:ascii="宋体" w:eastAsia="宋体" w:hAnsi="宋体"/>
                <w:b/>
                <w:sz w:val="24"/>
                <w:szCs w:val="24"/>
              </w:rPr>
            </w:pPr>
          </w:p>
        </w:tc>
        <w:tc>
          <w:tcPr>
            <w:tcW w:w="1532" w:type="dxa"/>
            <w:gridSpan w:val="2"/>
            <w:tcBorders>
              <w:top w:val="single" w:sz="4" w:space="0" w:color="auto"/>
              <w:left w:val="nil"/>
              <w:bottom w:val="single" w:sz="4" w:space="0" w:color="auto"/>
              <w:right w:val="single" w:sz="4" w:space="0" w:color="auto"/>
            </w:tcBorders>
            <w:vAlign w:val="center"/>
          </w:tcPr>
          <w:p>
            <w:pPr>
              <w:autoSpaceDE w:val="0"/>
              <w:autoSpaceDN w:val="0"/>
              <w:adjustRightInd w:val="0"/>
              <w:snapToGrid w:val="0"/>
              <w:spacing w:after="78"/>
              <w:jc w:val="center"/>
              <w:rPr>
                <w:rFonts w:eastAsia="宋体"/>
                <w:kern w:val="0"/>
                <w:szCs w:val="21"/>
              </w:rPr>
            </w:pPr>
            <w:r>
              <w:rPr>
                <w:rFonts w:ascii="宋体" w:hAnsi="宋体"/>
                <w:kern w:val="0"/>
              </w:rPr>
              <w:t>要求</w:t>
            </w:r>
          </w:p>
        </w:tc>
        <w:tc>
          <w:tcPr>
            <w:tcW w:w="6321" w:type="dxa"/>
            <w:tcBorders>
              <w:top w:val="single" w:sz="4" w:space="0" w:color="auto"/>
              <w:left w:val="nil"/>
              <w:bottom w:val="single" w:sz="4" w:space="0" w:color="auto"/>
              <w:right w:val="single" w:sz="4" w:space="0" w:color="auto"/>
            </w:tcBorders>
            <w:vAlign w:val="center"/>
          </w:tcPr>
          <w:p>
            <w:pPr>
              <w:autoSpaceDE w:val="0"/>
              <w:autoSpaceDN w:val="0"/>
              <w:adjustRightInd w:val="0"/>
              <w:snapToGrid w:val="0"/>
              <w:spacing w:after="78"/>
              <w:ind w:firstLine="420" w:firstLineChars="200"/>
              <w:rPr>
                <w:kern w:val="0"/>
                <w:szCs w:val="21"/>
              </w:rPr>
            </w:pPr>
            <w:r>
              <w:rPr>
                <w:kern w:val="0"/>
              </w:rPr>
              <w:t>1</w:t>
            </w:r>
            <w:r>
              <w:rPr>
                <w:rFonts w:ascii="宋体" w:hAnsi="宋体"/>
                <w:kern w:val="0"/>
              </w:rPr>
              <w:t>、项目由采购方审查通过后进入售后服务期，售后服务内容要求主要包括</w:t>
            </w:r>
            <w:r>
              <w:rPr>
                <w:rFonts w:ascii="宋体" w:hAnsi="宋体" w:hint="eastAsia"/>
                <w:kern w:val="0"/>
              </w:rPr>
              <w:t>法律咨询</w:t>
            </w:r>
            <w:r>
              <w:rPr>
                <w:rFonts w:ascii="宋体" w:hAnsi="宋体"/>
                <w:kern w:val="0"/>
              </w:rPr>
              <w:t>等；</w:t>
            </w:r>
          </w:p>
          <w:p>
            <w:pPr>
              <w:autoSpaceDE w:val="0"/>
              <w:autoSpaceDN w:val="0"/>
              <w:adjustRightInd w:val="0"/>
              <w:snapToGrid w:val="0"/>
              <w:spacing w:after="78"/>
              <w:ind w:firstLine="420" w:firstLineChars="200"/>
              <w:rPr>
                <w:kern w:val="0"/>
              </w:rPr>
            </w:pPr>
            <w:r>
              <w:rPr>
                <w:kern w:val="0"/>
              </w:rPr>
              <w:t>2</w:t>
            </w:r>
            <w:r>
              <w:rPr>
                <w:rFonts w:ascii="宋体" w:hAnsi="宋体"/>
                <w:kern w:val="0"/>
              </w:rPr>
              <w:t>、本项目</w:t>
            </w:r>
            <w:r>
              <w:rPr>
                <w:rFonts w:ascii="宋体" w:hAnsi="宋体" w:hint="eastAsia"/>
                <w:kern w:val="0"/>
              </w:rPr>
              <w:t>售后免费提供服务期限为</w:t>
            </w:r>
            <w:r>
              <w:rPr>
                <w:rFonts w:hint="eastAsia"/>
                <w:kern w:val="0"/>
              </w:rPr>
              <w:t>1</w:t>
            </w:r>
            <w:r>
              <w:rPr>
                <w:rFonts w:ascii="宋体" w:hAnsi="宋体" w:hint="eastAsia"/>
                <w:kern w:val="0"/>
              </w:rPr>
              <w:t>年，实际至本项目签约谈判工作全部结束；</w:t>
            </w:r>
          </w:p>
          <w:p>
            <w:pPr>
              <w:autoSpaceDE w:val="0"/>
              <w:autoSpaceDN w:val="0"/>
              <w:adjustRightInd w:val="0"/>
              <w:snapToGrid w:val="0"/>
              <w:spacing w:after="78"/>
              <w:ind w:firstLine="420" w:firstLineChars="200"/>
              <w:rPr>
                <w:kern w:val="0"/>
              </w:rPr>
            </w:pPr>
            <w:r>
              <w:rPr>
                <w:kern w:val="0"/>
              </w:rPr>
              <w:t>3</w:t>
            </w:r>
            <w:r>
              <w:rPr>
                <w:rFonts w:ascii="宋体" w:hAnsi="宋体"/>
                <w:kern w:val="0"/>
              </w:rPr>
              <w:t>、技术支持服务包括包含以下内容：</w:t>
            </w:r>
          </w:p>
          <w:p>
            <w:pPr>
              <w:autoSpaceDE w:val="0"/>
              <w:autoSpaceDN w:val="0"/>
              <w:adjustRightInd w:val="0"/>
              <w:snapToGrid w:val="0"/>
              <w:spacing w:after="78"/>
              <w:ind w:firstLine="420" w:firstLineChars="200"/>
              <w:rPr>
                <w:rFonts w:eastAsia="宋体"/>
                <w:kern w:val="0"/>
                <w:szCs w:val="21"/>
              </w:rPr>
            </w:pPr>
            <w:r>
              <w:rPr>
                <w:rFonts w:ascii="宋体" w:hAnsi="宋体"/>
                <w:kern w:val="0"/>
              </w:rPr>
              <w:t>专员支持服务：安排维护专员为本项目售后</w:t>
            </w:r>
            <w:r>
              <w:rPr>
                <w:rFonts w:ascii="宋体" w:hAnsi="宋体" w:hint="eastAsia"/>
                <w:kern w:val="0"/>
              </w:rPr>
              <w:t>法律咨询</w:t>
            </w:r>
            <w:r>
              <w:rPr>
                <w:rFonts w:ascii="宋体" w:hAnsi="宋体"/>
                <w:kern w:val="0"/>
              </w:rPr>
              <w:t>，并提供其联系手机、电话、</w:t>
            </w:r>
            <w:r>
              <w:rPr>
                <w:kern w:val="0"/>
              </w:rPr>
              <w:t>Email</w:t>
            </w:r>
            <w:r>
              <w:rPr>
                <w:rFonts w:ascii="宋体" w:hAnsi="宋体"/>
                <w:kern w:val="0"/>
              </w:rPr>
              <w:t>；保证采购方能及时联系到</w:t>
            </w:r>
            <w:r>
              <w:rPr>
                <w:rFonts w:ascii="宋体" w:hAnsi="宋体" w:hint="eastAsia"/>
                <w:kern w:val="0"/>
              </w:rPr>
              <w:t>律师人员</w:t>
            </w:r>
            <w:r>
              <w:rPr>
                <w:rFonts w:ascii="宋体" w:hAnsi="宋体"/>
                <w:kern w:val="0"/>
              </w:rPr>
              <w:t>；如人员需要调整应及时通知采购方；</w:t>
            </w:r>
          </w:p>
        </w:tc>
      </w:tr>
      <w:tr>
        <w:tblPrEx>
          <w:tblW w:w="0" w:type="auto"/>
          <w:jc w:val="center"/>
          <w:tblLayout w:type="fixed"/>
          <w:tblCellMar>
            <w:top w:w="0" w:type="dxa"/>
            <w:left w:w="108" w:type="dxa"/>
            <w:bottom w:w="0" w:type="dxa"/>
            <w:right w:w="108" w:type="dxa"/>
          </w:tblCellMar>
        </w:tblPrEx>
        <w:trPr>
          <w:trHeight w:val="878"/>
          <w:jc w:val="center"/>
        </w:trPr>
        <w:tc>
          <w:tcPr>
            <w:tcW w:w="1708"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after="78" w:line="360" w:lineRule="auto"/>
              <w:jc w:val="center"/>
              <w:rPr>
                <w:rFonts w:ascii="宋体" w:eastAsia="宋体" w:hAnsi="宋体"/>
                <w:b/>
                <w:kern w:val="0"/>
                <w:szCs w:val="21"/>
              </w:rPr>
            </w:pPr>
            <w:r>
              <w:rPr>
                <w:rFonts w:ascii="宋体" w:hAnsi="宋体" w:hint="eastAsia"/>
                <w:b/>
                <w:kern w:val="0"/>
              </w:rPr>
              <w:t>考核办法</w:t>
            </w:r>
          </w:p>
        </w:tc>
        <w:tc>
          <w:tcPr>
            <w:tcW w:w="7853" w:type="dxa"/>
            <w:gridSpan w:val="3"/>
            <w:tcBorders>
              <w:top w:val="single" w:sz="4" w:space="0" w:color="auto"/>
              <w:left w:val="nil"/>
              <w:bottom w:val="single" w:sz="4" w:space="0" w:color="auto"/>
              <w:right w:val="single" w:sz="4" w:space="0" w:color="auto"/>
            </w:tcBorders>
            <w:vAlign w:val="center"/>
          </w:tcPr>
          <w:p>
            <w:pPr>
              <w:spacing w:after="78"/>
              <w:ind w:firstLine="412" w:firstLineChars="196"/>
              <w:rPr>
                <w:rFonts w:eastAsia="宋体"/>
                <w:szCs w:val="21"/>
              </w:rPr>
            </w:pPr>
            <w:r>
              <w:rPr>
                <w:rFonts w:ascii="宋体" w:hAnsi="宋体"/>
                <w:kern w:val="0"/>
              </w:rPr>
              <w:t>中标方需按采购方招标</w:t>
            </w:r>
            <w:r>
              <w:rPr>
                <w:rFonts w:ascii="宋体" w:hAnsi="宋体" w:hint="eastAsia"/>
                <w:kern w:val="0"/>
              </w:rPr>
              <w:t>内容</w:t>
            </w:r>
            <w:r>
              <w:rPr>
                <w:rFonts w:ascii="宋体" w:hAnsi="宋体"/>
                <w:kern w:val="0"/>
              </w:rPr>
              <w:t>和时间要求，完成并全部提交相应工作成果后，经采购方相关业务部门审核后，方可进行项目验收。</w:t>
            </w:r>
          </w:p>
        </w:tc>
      </w:tr>
      <w:tr>
        <w:tblPrEx>
          <w:tblW w:w="0" w:type="auto"/>
          <w:jc w:val="center"/>
          <w:tblLayout w:type="fixed"/>
          <w:tblCellMar>
            <w:top w:w="0" w:type="dxa"/>
            <w:left w:w="108" w:type="dxa"/>
            <w:bottom w:w="0" w:type="dxa"/>
            <w:right w:w="108" w:type="dxa"/>
          </w:tblCellMar>
        </w:tblPrEx>
        <w:trPr>
          <w:trHeight w:val="913"/>
          <w:jc w:val="center"/>
        </w:trPr>
        <w:tc>
          <w:tcPr>
            <w:tcW w:w="1708"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after="78" w:line="360" w:lineRule="auto"/>
              <w:jc w:val="center"/>
              <w:rPr>
                <w:rFonts w:ascii="宋体" w:eastAsia="宋体" w:hAnsi="宋体"/>
                <w:b/>
                <w:kern w:val="0"/>
                <w:szCs w:val="21"/>
              </w:rPr>
            </w:pPr>
            <w:r>
              <w:rPr>
                <w:rFonts w:ascii="宋体" w:hAnsi="宋体" w:hint="eastAsia"/>
                <w:b/>
                <w:bCs/>
                <w:kern w:val="0"/>
              </w:rPr>
              <w:t>报价要求</w:t>
            </w:r>
          </w:p>
        </w:tc>
        <w:tc>
          <w:tcPr>
            <w:tcW w:w="7853" w:type="dxa"/>
            <w:gridSpan w:val="3"/>
            <w:tcBorders>
              <w:top w:val="single" w:sz="4" w:space="0" w:color="auto"/>
              <w:left w:val="nil"/>
              <w:bottom w:val="single" w:sz="4" w:space="0" w:color="auto"/>
              <w:right w:val="single" w:sz="4" w:space="0" w:color="auto"/>
            </w:tcBorders>
            <w:vAlign w:val="center"/>
          </w:tcPr>
          <w:p>
            <w:pPr>
              <w:spacing w:after="78"/>
              <w:ind w:firstLine="420" w:firstLineChars="200"/>
              <w:rPr>
                <w:rFonts w:ascii="宋体" w:hAnsi="宋体"/>
                <w:bCs/>
                <w:szCs w:val="21"/>
              </w:rPr>
            </w:pPr>
            <w:r>
              <w:rPr>
                <w:rFonts w:ascii="宋体" w:hAnsi="宋体" w:hint="eastAsia"/>
                <w:bCs/>
              </w:rPr>
              <w:t>1.投标总价以人民币报价，</w:t>
            </w:r>
            <w:r>
              <w:rPr>
                <w:rFonts w:ascii="宋体" w:hAnsi="宋体" w:cs="Arial" w:hint="eastAsia"/>
              </w:rPr>
              <w:t>投标报价不得超过项目预算金额；</w:t>
            </w:r>
            <w:r>
              <w:rPr>
                <w:rFonts w:ascii="宋体" w:hAnsi="宋体"/>
              </w:rPr>
              <w:t>投标人应充分考虑本项目服务成本，</w:t>
            </w:r>
            <w:r>
              <w:rPr>
                <w:rFonts w:ascii="宋体" w:hAnsi="宋体" w:hint="eastAsia"/>
                <w:bCs/>
              </w:rPr>
              <w:t>不得以任何理由要求追加任何费用。</w:t>
            </w:r>
          </w:p>
          <w:p>
            <w:pPr>
              <w:snapToGrid w:val="0"/>
              <w:ind w:left="-4" w:firstLine="426" w:leftChars="-2" w:firstLineChars="203"/>
              <w:rPr>
                <w:rFonts w:ascii="宋体" w:eastAsia="宋体" w:hAnsi="宋体" w:cs="Arial"/>
                <w:szCs w:val="21"/>
              </w:rPr>
            </w:pPr>
            <w:r>
              <w:rPr>
                <w:rFonts w:hint="eastAsia"/>
              </w:rPr>
              <w:t>2.</w:t>
            </w:r>
            <w:r>
              <w:rPr>
                <w:rFonts w:ascii="宋体" w:hAnsi="宋体" w:cs="Arial" w:hint="eastAsia"/>
              </w:rPr>
              <w:t>本项目按《广东省物价局、司法厅律师服务收费管理实施办法》及有关行业标准进行取费，本项目服务费最终结算费以实际法律服务费为准；若实际法律服务费不超过中标价，以实际法律服务费进行结算</w:t>
            </w:r>
            <w:r>
              <w:rPr>
                <w:rFonts w:hint="eastAsia"/>
              </w:rPr>
              <w:t xml:space="preserve">, </w:t>
            </w:r>
            <w:r>
              <w:rPr>
                <w:rFonts w:ascii="宋体" w:hAnsi="宋体" w:cs="Arial" w:hint="eastAsia"/>
              </w:rPr>
              <w:t>若实际法律服务费超过中标价，以中标价进行结算</w:t>
            </w:r>
            <w:r>
              <w:rPr>
                <w:rFonts w:hint="eastAsia"/>
              </w:rPr>
              <w:t>,</w:t>
            </w:r>
            <w:r>
              <w:rPr>
                <w:rFonts w:ascii="宋体" w:hAnsi="宋体" w:cs="Arial" w:hint="eastAsia"/>
              </w:rPr>
              <w:t>最终结算价不得高于投标人的本包组投标总价。</w:t>
            </w:r>
          </w:p>
        </w:tc>
      </w:tr>
      <w:tr>
        <w:tblPrEx>
          <w:tblW w:w="0" w:type="auto"/>
          <w:jc w:val="center"/>
          <w:tblLayout w:type="fixed"/>
          <w:tblCellMar>
            <w:top w:w="0" w:type="dxa"/>
            <w:left w:w="108" w:type="dxa"/>
            <w:bottom w:w="0" w:type="dxa"/>
            <w:right w:w="108" w:type="dxa"/>
          </w:tblCellMar>
        </w:tblPrEx>
        <w:trPr>
          <w:trHeight w:val="470"/>
          <w:jc w:val="center"/>
        </w:trPr>
        <w:tc>
          <w:tcPr>
            <w:tcW w:w="1708"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after="78" w:line="360" w:lineRule="auto"/>
              <w:jc w:val="center"/>
              <w:rPr>
                <w:rFonts w:ascii="宋体" w:eastAsia="宋体" w:hAnsi="宋体"/>
                <w:b/>
                <w:bCs/>
                <w:kern w:val="0"/>
                <w:szCs w:val="21"/>
              </w:rPr>
            </w:pPr>
            <w:r>
              <w:rPr>
                <w:rFonts w:ascii="宋体" w:hAnsi="宋体" w:hint="eastAsia"/>
                <w:b/>
                <w:kern w:val="0"/>
              </w:rPr>
              <w:t>付款方式</w:t>
            </w:r>
          </w:p>
        </w:tc>
        <w:tc>
          <w:tcPr>
            <w:tcW w:w="7853" w:type="dxa"/>
            <w:gridSpan w:val="3"/>
            <w:tcBorders>
              <w:top w:val="single" w:sz="4" w:space="0" w:color="auto"/>
              <w:left w:val="nil"/>
              <w:bottom w:val="single" w:sz="4" w:space="0" w:color="auto"/>
              <w:right w:val="single" w:sz="4" w:space="0" w:color="auto"/>
            </w:tcBorders>
            <w:vAlign w:val="bottom"/>
          </w:tcPr>
          <w:p>
            <w:pPr>
              <w:pStyle w:val="NormalIndent"/>
              <w:adjustRightInd w:val="0"/>
              <w:snapToGrid w:val="0"/>
              <w:spacing w:after="78"/>
            </w:pPr>
            <w:r>
              <w:rPr>
                <w:rFonts w:ascii="宋体" w:hAnsi="宋体" w:hint="eastAsia"/>
              </w:rPr>
              <w:t>按</w:t>
            </w:r>
            <w:r>
              <w:rPr>
                <w:rFonts w:ascii="宋体" w:hAnsi="宋体"/>
              </w:rPr>
              <w:t>合同</w:t>
            </w:r>
            <w:r>
              <w:rPr>
                <w:rFonts w:ascii="宋体" w:hAnsi="宋体" w:hint="eastAsia"/>
              </w:rPr>
              <w:t>条款</w:t>
            </w:r>
            <w:r>
              <w:rPr>
                <w:rFonts w:ascii="宋体" w:hAnsi="宋体"/>
              </w:rPr>
              <w:t>。</w:t>
            </w:r>
          </w:p>
        </w:tc>
      </w:tr>
      <w:tr>
        <w:tblPrEx>
          <w:tblW w:w="0" w:type="auto"/>
          <w:jc w:val="center"/>
          <w:tblLayout w:type="fixed"/>
          <w:tblCellMar>
            <w:top w:w="0" w:type="dxa"/>
            <w:left w:w="108" w:type="dxa"/>
            <w:bottom w:w="0" w:type="dxa"/>
            <w:right w:w="108" w:type="dxa"/>
          </w:tblCellMar>
        </w:tblPrEx>
        <w:trPr>
          <w:trHeight w:val="665"/>
          <w:jc w:val="center"/>
        </w:trPr>
        <w:tc>
          <w:tcPr>
            <w:tcW w:w="1708"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after="78"/>
              <w:jc w:val="center"/>
              <w:rPr>
                <w:rFonts w:ascii="宋体" w:eastAsia="宋体" w:hAnsi="宋体"/>
                <w:b/>
                <w:kern w:val="0"/>
                <w:szCs w:val="21"/>
              </w:rPr>
            </w:pPr>
            <w:r>
              <w:rPr>
                <w:rFonts w:ascii="宋体" w:hAnsi="宋体" w:hint="eastAsia"/>
                <w:b/>
                <w:kern w:val="0"/>
              </w:rPr>
              <w:t>其他需说明的事项</w:t>
            </w:r>
          </w:p>
        </w:tc>
        <w:tc>
          <w:tcPr>
            <w:tcW w:w="7853" w:type="dxa"/>
            <w:gridSpan w:val="3"/>
            <w:tcBorders>
              <w:top w:val="single" w:sz="4" w:space="0" w:color="auto"/>
              <w:left w:val="nil"/>
              <w:bottom w:val="single" w:sz="4" w:space="0" w:color="auto"/>
              <w:right w:val="single" w:sz="4" w:space="0" w:color="auto"/>
            </w:tcBorders>
            <w:vAlign w:val="center"/>
          </w:tcPr>
          <w:p>
            <w:pPr>
              <w:spacing w:after="78"/>
              <w:ind w:firstLine="412" w:firstLineChars="196"/>
              <w:rPr>
                <w:szCs w:val="21"/>
              </w:rPr>
            </w:pPr>
            <w:r>
              <w:t>1</w:t>
            </w:r>
            <w:r>
              <w:rPr>
                <w:rFonts w:ascii="宋体" w:hAnsi="宋体"/>
              </w:rPr>
              <w:t>、</w:t>
            </w:r>
            <w:r>
              <w:rPr>
                <w:rFonts w:ascii="宋体" w:hAnsi="宋体" w:hint="eastAsia"/>
              </w:rPr>
              <w:t>采购方拥有本项目法律服务成果的所有权；</w:t>
            </w:r>
          </w:p>
          <w:p>
            <w:pPr>
              <w:adjustRightInd w:val="0"/>
              <w:snapToGrid w:val="0"/>
              <w:spacing w:after="78"/>
              <w:ind w:firstLine="420" w:firstLineChars="200"/>
            </w:pPr>
            <w:r>
              <w:t>2</w:t>
            </w:r>
            <w:r>
              <w:rPr>
                <w:rFonts w:ascii="宋体" w:hAnsi="宋体"/>
              </w:rPr>
              <w:t>、参加公开招标各方应确保文件中的人员信息真实、有效；</w:t>
            </w:r>
          </w:p>
          <w:p>
            <w:pPr>
              <w:adjustRightInd w:val="0"/>
              <w:snapToGrid w:val="0"/>
              <w:spacing w:after="78"/>
              <w:ind w:firstLine="420" w:firstLineChars="200"/>
            </w:pPr>
            <w:r>
              <w:t>3</w:t>
            </w:r>
            <w:r>
              <w:rPr>
                <w:rFonts w:ascii="宋体" w:hAnsi="宋体"/>
              </w:rPr>
              <w:t>、投标方必须保守国家机密，不得泄漏采购方所提供的属国家秘密的信息和数据；未经采购方允许，不得使用或者以其它方式给任何第三方提供本项目的相关信息或数据；</w:t>
            </w:r>
          </w:p>
          <w:p>
            <w:pPr>
              <w:adjustRightInd w:val="0"/>
              <w:snapToGrid w:val="0"/>
              <w:spacing w:after="78"/>
              <w:ind w:firstLine="420" w:firstLineChars="200"/>
            </w:pPr>
            <w:r>
              <w:t>4</w:t>
            </w:r>
            <w:r>
              <w:rPr>
                <w:rFonts w:ascii="宋体" w:hAnsi="宋体"/>
              </w:rPr>
              <w:t>、中标方不得将项目非法分包或转包给任何单位和个人，否则采购方有权即刻终止合同，并要求中标人赔偿相应损失；</w:t>
            </w:r>
          </w:p>
          <w:p>
            <w:pPr>
              <w:adjustRightInd w:val="0"/>
              <w:snapToGrid w:val="0"/>
              <w:spacing w:after="78"/>
              <w:ind w:firstLine="420" w:firstLineChars="200"/>
              <w:rPr>
                <w:rFonts w:eastAsia="宋体"/>
                <w:kern w:val="0"/>
                <w:szCs w:val="21"/>
              </w:rPr>
            </w:pPr>
            <w:r>
              <w:t>5</w:t>
            </w:r>
            <w:r>
              <w:rPr>
                <w:rFonts w:ascii="宋体" w:hAnsi="宋体" w:hint="eastAsia"/>
              </w:rPr>
              <w:t>、在项目实施过程中，如遇争议事项，双方进一步协商解决。</w:t>
            </w:r>
          </w:p>
        </w:tc>
      </w:tr>
    </w:tbl>
    <w:p>
      <w:pPr>
        <w:widowControl/>
        <w:jc w:val="left"/>
        <w:rPr>
          <w:rFonts w:ascii="宋体" w:eastAsia="黑体" w:hAnsi="宋体" w:cs="Times New Roman"/>
          <w:bCs/>
          <w:kern w:val="44"/>
          <w:sz w:val="28"/>
          <w:szCs w:val="44"/>
        </w:rPr>
      </w:pPr>
      <w:r>
        <w:br w:type="page"/>
      </w:r>
    </w:p>
    <w:p>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第四章 投标文件组成要求及格式</w:t>
      </w:r>
    </w:p>
    <w:p>
      <w:pPr>
        <w:outlineLvl w:val="2"/>
        <w:rPr>
          <w:rFonts w:ascii="黑体" w:eastAsia="黑体"/>
          <w:b/>
          <w:bCs/>
          <w:color w:val="FF0000"/>
          <w:sz w:val="28"/>
        </w:rPr>
      </w:pPr>
      <w:r>
        <w:rPr>
          <w:rFonts w:ascii="黑体" w:eastAsia="黑体" w:hint="eastAsia"/>
          <w:b/>
          <w:bCs/>
          <w:color w:val="FF0000"/>
          <w:sz w:val="28"/>
        </w:rPr>
        <w:t>特别提醒：</w:t>
      </w:r>
    </w:p>
    <w:p>
      <w:pPr>
        <w:ind w:firstLine="412" w:firstLineChars="196"/>
        <w:rPr>
          <w:rFonts w:ascii="Arial" w:hAnsi="Arial"/>
          <w:b/>
          <w:color w:val="FF0000"/>
          <w:sz w:val="24"/>
          <w:szCs w:val="24"/>
        </w:rPr>
      </w:pPr>
      <w:r>
        <w:rPr>
          <w:rFonts w:ascii="Arial" w:hAnsi="Arial" w:hint="eastAsia"/>
          <w:b/>
          <w:color w:val="FF0000"/>
          <w:sz w:val="24"/>
          <w:szCs w:val="24"/>
        </w:rPr>
        <w:t>根据《中华人民共和国政府采购法》及《深圳经济特区政府采购条例》有关规定，为增强各投标人诚信守法、公平竞争意识，规范各投标人投标行为，有效遏制投标人在政府采购活动中的串标围标、造假等不诚信行为，促进我区政府采购市场诚信体系建设，确保我区政府采购工作公开、公平和公正，招标机构将依法依规对如下投标信息予以公示，望各投标人给予配合，履行好自身的权益和义务。</w:t>
      </w:r>
    </w:p>
    <w:p>
      <w:pPr>
        <w:ind w:firstLine="412" w:firstLineChars="196"/>
        <w:rPr>
          <w:rFonts w:ascii="Arial" w:hAnsi="Arial"/>
          <w:color w:val="FF0000"/>
          <w:sz w:val="24"/>
          <w:szCs w:val="24"/>
        </w:rPr>
      </w:pPr>
      <w:r>
        <w:rPr>
          <w:rFonts w:ascii="Arial" w:hAnsi="Arial" w:hint="eastAsia"/>
          <w:color w:val="FF0000"/>
          <w:sz w:val="24"/>
          <w:szCs w:val="24"/>
        </w:rPr>
        <w:t>（1）公示的内容：如投标函、政府采购投标及履约承诺函、分项报价清单、中小企业声明函、招标文件要求的其它内容或投标人认为需要补充的资料等（具体以</w:t>
      </w:r>
      <w:r>
        <w:rPr>
          <w:rFonts w:ascii="Arial" w:hAnsi="Arial"/>
          <w:color w:val="FF0000"/>
          <w:sz w:val="24"/>
          <w:szCs w:val="24"/>
        </w:rPr>
        <w:t>“</w:t>
      </w:r>
      <w:r>
        <w:rPr>
          <w:rFonts w:ascii="Arial" w:hAnsi="Arial" w:hint="eastAsia"/>
          <w:color w:val="FF0000"/>
          <w:sz w:val="24"/>
          <w:szCs w:val="24"/>
        </w:rPr>
        <w:t>投标文件正文</w:t>
      </w:r>
      <w:r>
        <w:rPr>
          <w:rFonts w:ascii="Arial" w:hAnsi="Arial"/>
          <w:color w:val="FF0000"/>
          <w:sz w:val="24"/>
          <w:szCs w:val="24"/>
        </w:rPr>
        <w:t>”</w:t>
      </w:r>
      <w:r>
        <w:rPr>
          <w:rFonts w:ascii="Arial" w:hAnsi="Arial" w:hint="eastAsia"/>
          <w:color w:val="FF0000"/>
          <w:sz w:val="24"/>
          <w:szCs w:val="24"/>
        </w:rPr>
        <w:t>中涉及的内容为准）。</w:t>
      </w:r>
    </w:p>
    <w:p>
      <w:pPr>
        <w:ind w:firstLine="412" w:firstLineChars="196"/>
        <w:rPr>
          <w:rFonts w:ascii="Arial" w:hAnsi="Arial"/>
          <w:color w:val="FF0000"/>
          <w:sz w:val="24"/>
          <w:szCs w:val="24"/>
        </w:rPr>
      </w:pPr>
      <w:r>
        <w:rPr>
          <w:rFonts w:ascii="Arial" w:hAnsi="Arial" w:hint="eastAsia"/>
          <w:color w:val="FF0000"/>
          <w:sz w:val="24"/>
          <w:szCs w:val="24"/>
        </w:rPr>
        <w:t>（2）公示时间：公示时间为中标结果公布环节。当发布中标结果时，同时向社会公布参加该政府采购项目的投标人（包括中标和未中标投标人）的投标文件。对公开招标失败项目的投标文件不予公开。</w:t>
      </w:r>
    </w:p>
    <w:p>
      <w:pPr>
        <w:ind w:firstLine="412" w:firstLineChars="196"/>
        <w:rPr>
          <w:rFonts w:ascii="Arial" w:hAnsi="Arial"/>
          <w:color w:val="FF0000"/>
          <w:sz w:val="24"/>
          <w:szCs w:val="24"/>
        </w:rPr>
      </w:pPr>
      <w:r>
        <w:rPr>
          <w:rFonts w:ascii="Arial" w:hAnsi="Arial" w:hint="eastAsia"/>
          <w:color w:val="FF0000"/>
          <w:sz w:val="24"/>
          <w:szCs w:val="24"/>
        </w:rPr>
        <w:t>投标文件正文将对外公开，投标文件附件不公开。投标人</w:t>
      </w:r>
      <w:r>
        <w:rPr>
          <w:rFonts w:ascii="Arial" w:hAnsi="Arial"/>
          <w:color w:val="FF0000"/>
          <w:sz w:val="24"/>
          <w:szCs w:val="24"/>
        </w:rPr>
        <w:t>在</w:t>
      </w:r>
      <w:r>
        <w:rPr>
          <w:rFonts w:ascii="Arial" w:hAnsi="Arial" w:hint="eastAsia"/>
          <w:color w:val="FF0000"/>
          <w:sz w:val="24"/>
          <w:szCs w:val="24"/>
        </w:rPr>
        <w:t>使用投标书编制软件编制投标文件时</w:t>
      </w:r>
      <w:r>
        <w:rPr>
          <w:rFonts w:ascii="Arial" w:hAnsi="Arial"/>
          <w:color w:val="FF0000"/>
          <w:sz w:val="24"/>
          <w:szCs w:val="24"/>
        </w:rPr>
        <w:t>，</w:t>
      </w:r>
      <w:r>
        <w:rPr>
          <w:rFonts w:ascii="Arial" w:hAnsi="Arial" w:hint="eastAsia"/>
          <w:color w:val="FF0000"/>
          <w:sz w:val="24"/>
          <w:szCs w:val="24"/>
        </w:rPr>
        <w:t>信息公开部分必须编制于“投标书目录（公开部分）”，非信息公开部分编制于“投标书附件（不公开部分）”，如下图所示：</w:t>
      </w:r>
    </w:p>
    <w:p>
      <w:pPr>
        <w:jc w:val="center"/>
        <w:rPr>
          <w:rFonts w:ascii="黑体" w:eastAsia="黑体"/>
          <w:b/>
          <w:bCs/>
          <w:color w:val="FF0000"/>
          <w:sz w:val="28"/>
        </w:rPr>
      </w:pPr>
      <w:r>
        <w:drawing>
          <wp:inline distT="0" distB="0" distL="0" distR="0">
            <wp:extent cx="5278755" cy="4126230"/>
            <wp:effectExtent l="0" t="0" r="9525" b="3810"/>
            <wp:docPr id="1" name="_x0000_i1025"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i1025" descr="图形用户界面, 应用程序&#10;&#10;描述已自动生成"/>
                    <pic:cNvPicPr>
                      <a:picLocks noChangeAspect="1"/>
                    </pic:cNvPicPr>
                  </pic:nvPicPr>
                  <pic:blipFill>
                    <a:blip xmlns:r="http://schemas.openxmlformats.org/officeDocument/2006/relationships" r:embed="rId7"/>
                    <a:stretch>
                      <a:fillRect/>
                    </a:stretch>
                  </pic:blipFill>
                  <pic:spPr>
                    <a:xfrm>
                      <a:off x="0" y="0"/>
                      <a:ext cx="5278755" cy="4126230"/>
                    </a:xfrm>
                    <a:prstGeom prst="rect">
                      <a:avLst/>
                    </a:prstGeom>
                    <a:noFill/>
                    <a:ln>
                      <a:noFill/>
                    </a:ln>
                  </pic:spPr>
                </pic:pic>
              </a:graphicData>
            </a:graphic>
          </wp:inline>
        </w:drawing>
      </w:r>
    </w:p>
    <w:p>
      <w:pPr>
        <w:tabs>
          <w:tab w:val="left" w:pos="1470"/>
        </w:tabs>
        <w:snapToGrid w:val="0"/>
        <w:ind w:firstLine="420" w:firstLineChars="200"/>
        <w:rPr>
          <w:rFonts w:ascii="宋体" w:eastAsia="宋体" w:hAnsi="宋体" w:cs="Times New Roman"/>
          <w:bCs/>
          <w:color w:val="FF0000"/>
          <w:sz w:val="24"/>
          <w:szCs w:val="24"/>
        </w:rPr>
      </w:pPr>
      <w:r>
        <w:rPr>
          <w:rFonts w:ascii="宋体" w:eastAsia="宋体" w:hAnsi="宋体" w:cs="Times New Roman" w:hint="eastAsia"/>
          <w:bCs/>
          <w:color w:val="FF0000"/>
          <w:sz w:val="24"/>
          <w:szCs w:val="24"/>
        </w:rPr>
        <w:t>招标机构公布投标文件正文（信息公开部分）时为计算机截取信息公布，如</w:t>
      </w:r>
      <w:r>
        <w:rPr>
          <w:rFonts w:ascii="宋体" w:eastAsia="宋体" w:hAnsi="宋体" w:cs="Times New Roman"/>
          <w:bCs/>
          <w:color w:val="FF0000"/>
          <w:sz w:val="24"/>
          <w:szCs w:val="24"/>
        </w:rPr>
        <w:t>投标人未按招标</w:t>
      </w:r>
      <w:r>
        <w:rPr>
          <w:rFonts w:ascii="宋体" w:eastAsia="宋体" w:hAnsi="宋体" w:cs="Times New Roman" w:hint="eastAsia"/>
          <w:bCs/>
          <w:color w:val="FF0000"/>
          <w:sz w:val="24"/>
          <w:szCs w:val="24"/>
        </w:rPr>
        <w:t>文件</w:t>
      </w:r>
      <w:r>
        <w:rPr>
          <w:rFonts w:ascii="宋体" w:eastAsia="宋体" w:hAnsi="宋体" w:cs="Times New Roman"/>
          <w:bCs/>
          <w:color w:val="FF0000"/>
          <w:sz w:val="24"/>
          <w:szCs w:val="24"/>
        </w:rPr>
        <w:t>要求将需要公示的内容编制</w:t>
      </w:r>
      <w:r>
        <w:rPr>
          <w:rFonts w:ascii="宋体" w:eastAsia="宋体" w:hAnsi="宋体" w:cs="Times New Roman" w:hint="eastAsia"/>
          <w:bCs/>
          <w:color w:val="FF0000"/>
          <w:sz w:val="24"/>
          <w:szCs w:val="24"/>
        </w:rPr>
        <w:t>于“投标书目录”内，将作投标无效处理；</w:t>
      </w:r>
      <w:r>
        <w:rPr>
          <w:rFonts w:ascii="宋体" w:eastAsia="宋体" w:hAnsi="宋体" w:cs="Times New Roman"/>
          <w:bCs/>
          <w:color w:val="FF0000"/>
          <w:sz w:val="24"/>
          <w:szCs w:val="24"/>
        </w:rPr>
        <w:t>如投标人将</w:t>
      </w:r>
      <w:r>
        <w:rPr>
          <w:rFonts w:ascii="宋体" w:eastAsia="宋体" w:hAnsi="宋体" w:cs="Times New Roman" w:hint="eastAsia"/>
          <w:bCs/>
          <w:color w:val="FF0000"/>
          <w:sz w:val="24"/>
          <w:szCs w:val="24"/>
        </w:rPr>
        <w:t>非信息公开部分内容</w:t>
      </w:r>
      <w:r>
        <w:rPr>
          <w:rFonts w:ascii="宋体" w:eastAsia="宋体" w:hAnsi="宋体" w:cs="Times New Roman"/>
          <w:bCs/>
          <w:color w:val="FF0000"/>
          <w:sz w:val="24"/>
          <w:szCs w:val="24"/>
        </w:rPr>
        <w:t>编制</w:t>
      </w:r>
      <w:r>
        <w:rPr>
          <w:rFonts w:ascii="宋体" w:eastAsia="宋体" w:hAnsi="宋体" w:cs="Times New Roman" w:hint="eastAsia"/>
          <w:bCs/>
          <w:color w:val="FF0000"/>
          <w:sz w:val="24"/>
          <w:szCs w:val="24"/>
        </w:rPr>
        <w:t>于“投标书目录”内，</w:t>
      </w:r>
      <w:r>
        <w:rPr>
          <w:rFonts w:ascii="宋体" w:eastAsia="宋体" w:hAnsi="宋体" w:cs="Times New Roman"/>
          <w:bCs/>
          <w:color w:val="FF0000"/>
          <w:sz w:val="24"/>
          <w:szCs w:val="24"/>
        </w:rPr>
        <w:t>不会</w:t>
      </w:r>
      <w:r>
        <w:rPr>
          <w:rFonts w:ascii="宋体" w:eastAsia="宋体" w:hAnsi="宋体" w:cs="Times New Roman" w:hint="eastAsia"/>
          <w:bCs/>
          <w:color w:val="FF0000"/>
          <w:sz w:val="24"/>
          <w:szCs w:val="24"/>
        </w:rPr>
        <w:t>作无效投标</w:t>
      </w:r>
      <w:r>
        <w:rPr>
          <w:rFonts w:ascii="宋体" w:eastAsia="宋体" w:hAnsi="宋体" w:cs="Times New Roman"/>
          <w:bCs/>
          <w:color w:val="FF0000"/>
          <w:sz w:val="24"/>
          <w:szCs w:val="24"/>
        </w:rPr>
        <w:t>处理，但</w:t>
      </w:r>
      <w:r>
        <w:rPr>
          <w:rFonts w:ascii="宋体" w:eastAsia="宋体" w:hAnsi="宋体" w:cs="Times New Roman" w:hint="eastAsia"/>
          <w:bCs/>
          <w:color w:val="FF0000"/>
          <w:sz w:val="24"/>
          <w:szCs w:val="24"/>
        </w:rPr>
        <w:t>一切后果由投标人自行承担。</w:t>
      </w:r>
    </w:p>
    <w:p>
      <w:pPr>
        <w:tabs>
          <w:tab w:val="left" w:pos="1470"/>
        </w:tabs>
        <w:snapToGrid w:val="0"/>
        <w:ind w:firstLine="420" w:firstLineChars="200"/>
        <w:rPr>
          <w:rFonts w:ascii="宋体" w:eastAsia="宋体" w:hAnsi="宋体" w:cs="Times New Roman"/>
          <w:b/>
          <w:color w:val="FF0000"/>
          <w:sz w:val="28"/>
          <w:szCs w:val="28"/>
        </w:rPr>
      </w:pPr>
      <w:r>
        <w:rPr>
          <w:rFonts w:ascii="宋体" w:eastAsia="宋体" w:hAnsi="宋体" w:cs="Times New Roman" w:hint="eastAsia"/>
          <w:b/>
          <w:color w:val="FF0000"/>
          <w:sz w:val="24"/>
          <w:szCs w:val="24"/>
        </w:rPr>
        <w:t>投标人对公示信息的质疑，按现规定和做法执行。望各投标人珍惜本次投标机会，诚实、守信、依法、依规投标。</w:t>
      </w:r>
    </w:p>
    <w:p>
      <w:pPr>
        <w:widowControl/>
        <w:jc w:val="left"/>
        <w:rPr>
          <w:rFonts w:ascii="宋体" w:eastAsia="黑体" w:hAnsi="宋体" w:cs="Times New Roman"/>
          <w:bCs/>
          <w:kern w:val="44"/>
          <w:sz w:val="32"/>
          <w:szCs w:val="32"/>
        </w:rPr>
      </w:pPr>
    </w:p>
    <w:p>
      <w:pPr>
        <w:widowControl/>
        <w:jc w:val="left"/>
        <w:rPr>
          <w:rFonts w:ascii="宋体" w:eastAsia="黑体" w:hAnsi="宋体" w:cs="Times New Roman"/>
          <w:bCs/>
          <w:kern w:val="44"/>
          <w:sz w:val="32"/>
          <w:szCs w:val="32"/>
        </w:rPr>
      </w:pPr>
      <w:r>
        <w:rPr>
          <w:rFonts w:ascii="宋体" w:eastAsia="黑体" w:hAnsi="宋体" w:cs="Times New Roman" w:hint="eastAsia"/>
          <w:bCs/>
          <w:kern w:val="44"/>
          <w:sz w:val="32"/>
          <w:szCs w:val="32"/>
        </w:rPr>
        <w:t>投标文件组成：</w:t>
      </w:r>
    </w:p>
    <w:p>
      <w:pPr>
        <w:snapToGrid w:val="0"/>
        <w:rPr>
          <w:rFonts w:ascii="Arial" w:eastAsia="宋体" w:hAnsi="Arial" w:cs="Arial"/>
          <w:b/>
          <w:sz w:val="32"/>
          <w:szCs w:val="32"/>
        </w:rPr>
      </w:pPr>
      <w:r>
        <w:rPr>
          <w:rFonts w:ascii="宋体" w:eastAsia="宋体" w:hAnsi="宋体" w:cs="宋体" w:hint="eastAsia"/>
          <w:b/>
          <w:kern w:val="0"/>
          <w:sz w:val="32"/>
          <w:szCs w:val="32"/>
        </w:rPr>
        <w:t>投标文件正文（信息公开部分）：</w:t>
      </w:r>
    </w:p>
    <w:p>
      <w:pPr>
        <w:numPr>
          <w:ilvl w:val="0"/>
          <w:numId w:val="2"/>
        </w:numPr>
        <w:snapToGrid w:val="0"/>
        <w:spacing w:after="78" w:afterLines="25"/>
        <w:jc w:val="left"/>
        <w:rPr>
          <w:rFonts w:ascii="宋体" w:eastAsia="宋体" w:hAnsi="宋体" w:cs="Times New Roman"/>
          <w:sz w:val="30"/>
          <w:szCs w:val="30"/>
        </w:rPr>
      </w:pPr>
      <w:r>
        <w:rPr>
          <w:rFonts w:ascii="宋体" w:eastAsia="宋体" w:hAnsi="宋体" w:cs="Times New Roman" w:hint="eastAsia"/>
          <w:sz w:val="30"/>
          <w:szCs w:val="30"/>
        </w:rPr>
        <w:t>投标函；</w:t>
      </w:r>
    </w:p>
    <w:p>
      <w:pPr>
        <w:numPr>
          <w:ilvl w:val="0"/>
          <w:numId w:val="2"/>
        </w:numPr>
        <w:snapToGrid w:val="0"/>
        <w:spacing w:after="78" w:afterLines="25"/>
        <w:jc w:val="left"/>
        <w:rPr>
          <w:rFonts w:ascii="宋体" w:eastAsia="宋体" w:hAnsi="宋体" w:cs="Times New Roman"/>
          <w:sz w:val="30"/>
          <w:szCs w:val="30"/>
        </w:rPr>
      </w:pPr>
      <w:bookmarkStart w:id="12" w:name="_Hlk72062521"/>
      <w:r>
        <w:rPr>
          <w:rFonts w:ascii="宋体" w:eastAsia="宋体" w:hAnsi="宋体" w:cs="Times New Roman" w:hint="eastAsia"/>
          <w:sz w:val="30"/>
          <w:szCs w:val="30"/>
        </w:rPr>
        <w:t>政府采购投标及履约承诺函</w:t>
      </w:r>
      <w:bookmarkEnd w:id="12"/>
      <w:r>
        <w:rPr>
          <w:rFonts w:ascii="宋体" w:eastAsia="宋体" w:hAnsi="宋体" w:cs="Times New Roman" w:hint="eastAsia"/>
          <w:sz w:val="30"/>
          <w:szCs w:val="30"/>
        </w:rPr>
        <w:t>；</w:t>
      </w:r>
    </w:p>
    <w:p>
      <w:pPr>
        <w:numPr>
          <w:ilvl w:val="0"/>
          <w:numId w:val="2"/>
        </w:numPr>
        <w:snapToGrid w:val="0"/>
        <w:spacing w:after="78" w:afterLines="25"/>
        <w:jc w:val="left"/>
        <w:rPr>
          <w:rFonts w:ascii="宋体" w:eastAsia="宋体" w:hAnsi="宋体" w:cs="Times New Roman"/>
          <w:sz w:val="30"/>
          <w:szCs w:val="30"/>
        </w:rPr>
      </w:pPr>
      <w:r>
        <w:rPr>
          <w:rFonts w:ascii="宋体" w:eastAsia="宋体" w:hAnsi="宋体" w:cs="Times New Roman" w:hint="eastAsia"/>
          <w:sz w:val="30"/>
          <w:szCs w:val="30"/>
        </w:rPr>
        <w:t>《律师事务所执业许可证》或《律师事务所分所执业许可证》；</w:t>
      </w:r>
    </w:p>
    <w:p>
      <w:pPr>
        <w:numPr>
          <w:ilvl w:val="0"/>
          <w:numId w:val="2"/>
        </w:numPr>
        <w:snapToGrid w:val="0"/>
        <w:spacing w:after="78" w:afterLines="25"/>
        <w:jc w:val="left"/>
        <w:rPr>
          <w:rFonts w:ascii="宋体" w:eastAsia="宋体" w:hAnsi="宋体" w:cs="Times New Roman"/>
          <w:sz w:val="30"/>
          <w:szCs w:val="30"/>
        </w:rPr>
      </w:pPr>
      <w:r>
        <w:rPr>
          <w:rFonts w:ascii="宋体" w:eastAsia="宋体" w:hAnsi="宋体" w:cs="Times New Roman" w:hint="eastAsia"/>
          <w:sz w:val="30"/>
          <w:szCs w:val="30"/>
        </w:rPr>
        <w:t>投标人所属总所出具并加盖公章的授权函及总所的《律师事务所执业许可证》（如参与投标的为分所的需提供）；</w:t>
      </w:r>
    </w:p>
    <w:p>
      <w:pPr>
        <w:numPr>
          <w:ilvl w:val="0"/>
          <w:numId w:val="2"/>
        </w:numPr>
        <w:snapToGrid w:val="0"/>
        <w:spacing w:after="78" w:afterLines="25"/>
        <w:ind w:left="1456"/>
        <w:rPr>
          <w:rFonts w:ascii="宋体" w:eastAsia="宋体" w:hAnsi="宋体" w:cs="Times New Roman"/>
          <w:sz w:val="30"/>
          <w:szCs w:val="30"/>
        </w:rPr>
      </w:pPr>
      <w:r>
        <w:rPr>
          <w:rFonts w:ascii="宋体" w:eastAsia="宋体" w:hAnsi="宋体" w:cs="Times New Roman" w:hint="eastAsia"/>
          <w:bCs/>
          <w:sz w:val="30"/>
          <w:szCs w:val="30"/>
        </w:rPr>
        <w:t>分项报价清单；</w:t>
      </w:r>
    </w:p>
    <w:p>
      <w:pPr>
        <w:numPr>
          <w:ilvl w:val="0"/>
          <w:numId w:val="2"/>
        </w:numPr>
        <w:snapToGrid w:val="0"/>
        <w:spacing w:after="78" w:afterLines="25"/>
        <w:ind w:left="1456"/>
        <w:rPr>
          <w:rFonts w:ascii="宋体" w:eastAsia="宋体" w:hAnsi="宋体" w:cs="Times New Roman"/>
          <w:sz w:val="32"/>
          <w:szCs w:val="32"/>
        </w:rPr>
      </w:pPr>
      <w:r>
        <w:rPr>
          <w:rFonts w:ascii="宋体" w:eastAsia="宋体" w:hAnsi="宋体" w:cs="Times New Roman" w:hint="eastAsia"/>
          <w:sz w:val="32"/>
          <w:szCs w:val="32"/>
        </w:rPr>
        <w:t>投标人获得荣誉情况；</w:t>
      </w:r>
    </w:p>
    <w:p>
      <w:pPr>
        <w:numPr>
          <w:ilvl w:val="0"/>
          <w:numId w:val="2"/>
        </w:numPr>
        <w:snapToGrid w:val="0"/>
        <w:spacing w:after="78" w:afterLines="25"/>
        <w:ind w:left="1456"/>
        <w:rPr>
          <w:rFonts w:ascii="宋体" w:eastAsia="宋体" w:hAnsi="宋体" w:cs="Times New Roman"/>
          <w:sz w:val="32"/>
          <w:szCs w:val="32"/>
        </w:rPr>
      </w:pPr>
      <w:r>
        <w:rPr>
          <w:rFonts w:ascii="宋体" w:eastAsia="宋体" w:hAnsi="宋体" w:cs="Times New Roman" w:hint="eastAsia"/>
          <w:sz w:val="32"/>
          <w:szCs w:val="32"/>
        </w:rPr>
        <w:t>投标人经验情况评价1；</w:t>
      </w:r>
    </w:p>
    <w:p>
      <w:pPr>
        <w:numPr>
          <w:ilvl w:val="0"/>
          <w:numId w:val="2"/>
        </w:numPr>
        <w:snapToGrid w:val="0"/>
        <w:spacing w:after="78" w:afterLines="25"/>
        <w:ind w:left="1456"/>
        <w:rPr>
          <w:rFonts w:ascii="宋体" w:eastAsia="宋体" w:hAnsi="宋体" w:cs="Times New Roman"/>
          <w:sz w:val="32"/>
          <w:szCs w:val="32"/>
        </w:rPr>
      </w:pPr>
      <w:r>
        <w:rPr>
          <w:rFonts w:ascii="宋体" w:eastAsia="宋体" w:hAnsi="宋体" w:cs="Times New Roman" w:hint="eastAsia"/>
          <w:sz w:val="32"/>
          <w:szCs w:val="32"/>
        </w:rPr>
        <w:t>投标人经验情况评价2；</w:t>
      </w:r>
    </w:p>
    <w:p>
      <w:pPr>
        <w:numPr>
          <w:ilvl w:val="0"/>
          <w:numId w:val="2"/>
        </w:numPr>
        <w:snapToGrid w:val="0"/>
        <w:spacing w:after="78" w:afterLines="25"/>
        <w:ind w:left="1456"/>
        <w:rPr>
          <w:rFonts w:ascii="宋体" w:eastAsia="宋体" w:hAnsi="宋体" w:cs="Times New Roman"/>
          <w:sz w:val="32"/>
          <w:szCs w:val="32"/>
        </w:rPr>
      </w:pPr>
      <w:r>
        <w:rPr>
          <w:rFonts w:ascii="宋体" w:eastAsia="宋体" w:hAnsi="宋体" w:cs="Times New Roman" w:hint="eastAsia"/>
          <w:sz w:val="32"/>
          <w:szCs w:val="32"/>
        </w:rPr>
        <w:t>职业道德和执业纪律；</w:t>
      </w:r>
    </w:p>
    <w:p>
      <w:pPr>
        <w:numPr>
          <w:ilvl w:val="0"/>
          <w:numId w:val="2"/>
        </w:numPr>
        <w:snapToGrid w:val="0"/>
        <w:spacing w:after="78" w:afterLines="25"/>
        <w:ind w:left="1456"/>
        <w:rPr>
          <w:rFonts w:ascii="宋体" w:eastAsia="宋体" w:hAnsi="宋体" w:cs="Times New Roman"/>
          <w:sz w:val="30"/>
          <w:szCs w:val="30"/>
        </w:rPr>
      </w:pPr>
      <w:r>
        <w:rPr>
          <w:rFonts w:ascii="宋体" w:eastAsia="宋体" w:hAnsi="宋体" w:cs="Times New Roman" w:hint="eastAsia"/>
          <w:sz w:val="30"/>
          <w:szCs w:val="30"/>
        </w:rPr>
        <w:t>其他招标文件要求或投标人认为需要补充的内容（公开）。</w:t>
      </w:r>
    </w:p>
    <w:p>
      <w:pPr>
        <w:snapToGrid w:val="0"/>
        <w:jc w:val="left"/>
        <w:rPr>
          <w:rFonts w:ascii="宋体" w:eastAsia="宋体" w:hAnsi="宋体" w:cs="宋体"/>
          <w:b/>
          <w:kern w:val="0"/>
          <w:sz w:val="32"/>
          <w:szCs w:val="32"/>
        </w:rPr>
      </w:pPr>
      <w:r>
        <w:rPr>
          <w:rFonts w:ascii="宋体" w:eastAsia="宋体" w:hAnsi="宋体" w:cs="宋体" w:hint="eastAsia"/>
          <w:b/>
          <w:kern w:val="0"/>
          <w:sz w:val="32"/>
          <w:szCs w:val="32"/>
        </w:rPr>
        <w:t>投标文件附件（信息不公开部分）：</w:t>
      </w:r>
    </w:p>
    <w:p>
      <w:pPr>
        <w:numPr>
          <w:ilvl w:val="0"/>
          <w:numId w:val="3"/>
        </w:numPr>
        <w:snapToGrid w:val="0"/>
        <w:spacing w:after="78" w:afterLines="25"/>
        <w:rPr>
          <w:rFonts w:ascii="宋体" w:eastAsia="宋体" w:hAnsi="宋体" w:cs="Times New Roman"/>
          <w:sz w:val="30"/>
          <w:szCs w:val="30"/>
        </w:rPr>
      </w:pPr>
      <w:r>
        <w:rPr>
          <w:rFonts w:ascii="宋体" w:eastAsia="宋体" w:hAnsi="宋体" w:cs="Times New Roman" w:hint="eastAsia"/>
          <w:sz w:val="30"/>
          <w:szCs w:val="30"/>
        </w:rPr>
        <w:t>法定代表人（负责人）证明书</w:t>
      </w:r>
      <w:r>
        <w:rPr>
          <w:rFonts w:ascii="Arial" w:eastAsia="宋体" w:hAnsi="Arial" w:cs="Arial" w:hint="eastAsia"/>
          <w:sz w:val="30"/>
          <w:szCs w:val="30"/>
        </w:rPr>
        <w:t>（</w:t>
      </w:r>
      <w:r>
        <w:rPr>
          <w:rFonts w:ascii="Arial" w:eastAsia="宋体" w:hAnsi="Arial" w:cs="Arial" w:hint="eastAsia"/>
          <w:bCs/>
          <w:sz w:val="30"/>
          <w:szCs w:val="30"/>
        </w:rPr>
        <w:t>附有效身份证正反面扫描件</w:t>
      </w:r>
      <w:r>
        <w:rPr>
          <w:rFonts w:ascii="Arial" w:eastAsia="宋体" w:hAnsi="Arial" w:cs="Arial" w:hint="eastAsia"/>
          <w:sz w:val="30"/>
          <w:szCs w:val="30"/>
        </w:rPr>
        <w:t>）；</w:t>
      </w:r>
    </w:p>
    <w:p>
      <w:pPr>
        <w:numPr>
          <w:ilvl w:val="0"/>
          <w:numId w:val="3"/>
        </w:numPr>
        <w:snapToGrid w:val="0"/>
        <w:spacing w:after="78" w:afterLines="25"/>
        <w:rPr>
          <w:rFonts w:ascii="宋体" w:eastAsia="宋体" w:hAnsi="宋体" w:cs="Times New Roman"/>
          <w:sz w:val="30"/>
          <w:szCs w:val="30"/>
        </w:rPr>
      </w:pPr>
      <w:r>
        <w:rPr>
          <w:rFonts w:ascii="宋体" w:eastAsia="宋体" w:hAnsi="宋体" w:cs="Times New Roman" w:hint="eastAsia"/>
          <w:sz w:val="30"/>
          <w:szCs w:val="30"/>
        </w:rPr>
        <w:t>投标文件签署授权委托书（</w:t>
      </w:r>
      <w:r>
        <w:rPr>
          <w:rFonts w:ascii="Arial" w:eastAsia="宋体" w:hAnsi="Arial" w:cs="Arial" w:hint="eastAsia"/>
          <w:bCs/>
          <w:sz w:val="30"/>
          <w:szCs w:val="30"/>
        </w:rPr>
        <w:t>附有效身份证正反面扫描件</w:t>
      </w:r>
      <w:r>
        <w:rPr>
          <w:rFonts w:ascii="宋体" w:eastAsia="宋体" w:hAnsi="宋体" w:cs="Times New Roman" w:hint="eastAsia"/>
          <w:sz w:val="30"/>
          <w:szCs w:val="30"/>
        </w:rPr>
        <w:t>）；</w:t>
      </w:r>
    </w:p>
    <w:p>
      <w:pPr>
        <w:numPr>
          <w:ilvl w:val="0"/>
          <w:numId w:val="3"/>
        </w:numPr>
        <w:snapToGrid w:val="0"/>
        <w:spacing w:after="78" w:afterLines="25"/>
        <w:rPr>
          <w:rFonts w:ascii="宋体" w:eastAsia="宋体" w:hAnsi="宋体" w:cs="Times New Roman"/>
          <w:sz w:val="30"/>
          <w:szCs w:val="30"/>
        </w:rPr>
      </w:pPr>
      <w:r>
        <w:rPr>
          <w:rFonts w:ascii="宋体" w:eastAsia="宋体" w:hAnsi="宋体" w:cs="Times New Roman" w:hint="eastAsia"/>
          <w:sz w:val="30"/>
          <w:szCs w:val="30"/>
        </w:rPr>
        <w:t>商务（服务）条款偏离表；</w:t>
      </w:r>
    </w:p>
    <w:p>
      <w:pPr>
        <w:numPr>
          <w:ilvl w:val="0"/>
          <w:numId w:val="3"/>
        </w:numPr>
        <w:snapToGrid w:val="0"/>
        <w:spacing w:after="78" w:afterLines="25"/>
        <w:rPr>
          <w:rFonts w:ascii="宋体" w:eastAsia="宋体" w:hAnsi="宋体" w:cs="Times New Roman"/>
          <w:sz w:val="32"/>
          <w:szCs w:val="32"/>
        </w:rPr>
      </w:pPr>
      <w:r>
        <w:rPr>
          <w:rFonts w:ascii="宋体" w:eastAsia="宋体" w:hAnsi="宋体" w:cs="Times New Roman" w:hint="eastAsia"/>
          <w:sz w:val="32"/>
          <w:szCs w:val="32"/>
        </w:rPr>
        <w:t>项目服务方案评价；</w:t>
      </w:r>
    </w:p>
    <w:p>
      <w:pPr>
        <w:numPr>
          <w:ilvl w:val="0"/>
          <w:numId w:val="3"/>
        </w:numPr>
        <w:snapToGrid w:val="0"/>
        <w:spacing w:after="78" w:afterLines="25"/>
        <w:rPr>
          <w:rFonts w:ascii="宋体" w:eastAsia="宋体" w:hAnsi="宋体" w:cs="Times New Roman"/>
          <w:sz w:val="32"/>
          <w:szCs w:val="32"/>
        </w:rPr>
      </w:pPr>
      <w:r>
        <w:rPr>
          <w:rFonts w:ascii="宋体" w:eastAsia="宋体" w:hAnsi="宋体" w:cs="Times New Roman" w:hint="eastAsia"/>
          <w:sz w:val="32"/>
          <w:szCs w:val="32"/>
        </w:rPr>
        <w:t>工作流程及时间进度安排；</w:t>
      </w:r>
    </w:p>
    <w:p>
      <w:pPr>
        <w:numPr>
          <w:ilvl w:val="0"/>
          <w:numId w:val="3"/>
        </w:numPr>
        <w:snapToGrid w:val="0"/>
        <w:spacing w:after="78" w:afterLines="25"/>
        <w:rPr>
          <w:rFonts w:ascii="宋体" w:eastAsia="宋体" w:hAnsi="宋体" w:cs="Times New Roman"/>
          <w:sz w:val="32"/>
          <w:szCs w:val="32"/>
        </w:rPr>
      </w:pPr>
      <w:r>
        <w:rPr>
          <w:rFonts w:ascii="宋体" w:eastAsia="宋体" w:hAnsi="宋体" w:cs="Times New Roman" w:hint="eastAsia"/>
          <w:sz w:val="32"/>
          <w:szCs w:val="32"/>
        </w:rPr>
        <w:t>项目质量保证措施评价；</w:t>
      </w:r>
    </w:p>
    <w:p>
      <w:pPr>
        <w:numPr>
          <w:ilvl w:val="0"/>
          <w:numId w:val="3"/>
        </w:numPr>
        <w:snapToGrid w:val="0"/>
        <w:spacing w:after="78" w:afterLines="25"/>
        <w:rPr>
          <w:rFonts w:ascii="宋体" w:eastAsia="宋体" w:hAnsi="宋体" w:cs="Times New Roman"/>
          <w:sz w:val="32"/>
          <w:szCs w:val="32"/>
        </w:rPr>
      </w:pPr>
      <w:r>
        <w:rPr>
          <w:rFonts w:ascii="宋体" w:eastAsia="宋体" w:hAnsi="宋体" w:cs="Times New Roman" w:hint="eastAsia"/>
          <w:sz w:val="32"/>
          <w:szCs w:val="32"/>
        </w:rPr>
        <w:t>对项目认识、重难点分析及应对措施评价；</w:t>
      </w:r>
    </w:p>
    <w:p>
      <w:pPr>
        <w:numPr>
          <w:ilvl w:val="0"/>
          <w:numId w:val="3"/>
        </w:numPr>
        <w:snapToGrid w:val="0"/>
        <w:spacing w:after="78" w:afterLines="25"/>
        <w:rPr>
          <w:rFonts w:ascii="宋体" w:eastAsia="宋体" w:hAnsi="宋体" w:cs="Times New Roman"/>
          <w:sz w:val="32"/>
          <w:szCs w:val="32"/>
        </w:rPr>
      </w:pPr>
      <w:r>
        <w:rPr>
          <w:rFonts w:ascii="宋体" w:eastAsia="宋体" w:hAnsi="宋体" w:cs="Times New Roman" w:hint="eastAsia"/>
          <w:sz w:val="32"/>
          <w:szCs w:val="32"/>
        </w:rPr>
        <w:t>后续服务评价；</w:t>
      </w:r>
    </w:p>
    <w:p>
      <w:pPr>
        <w:numPr>
          <w:ilvl w:val="0"/>
          <w:numId w:val="3"/>
        </w:numPr>
        <w:snapToGrid w:val="0"/>
        <w:spacing w:after="78" w:afterLines="25"/>
        <w:rPr>
          <w:rFonts w:ascii="宋体" w:eastAsia="宋体" w:hAnsi="宋体" w:cs="Times New Roman"/>
          <w:sz w:val="32"/>
          <w:szCs w:val="32"/>
        </w:rPr>
      </w:pPr>
      <w:r>
        <w:rPr>
          <w:rFonts w:ascii="宋体" w:eastAsia="宋体" w:hAnsi="宋体" w:cs="Times New Roman" w:hint="eastAsia"/>
          <w:sz w:val="32"/>
          <w:szCs w:val="32"/>
        </w:rPr>
        <w:t>项目负责人（律师）情况评价（仅限1人）；</w:t>
      </w:r>
    </w:p>
    <w:p>
      <w:pPr>
        <w:numPr>
          <w:ilvl w:val="0"/>
          <w:numId w:val="3"/>
        </w:numPr>
        <w:snapToGrid w:val="0"/>
        <w:spacing w:after="78" w:afterLines="25"/>
        <w:rPr>
          <w:rFonts w:ascii="宋体" w:eastAsia="宋体" w:hAnsi="宋体" w:cs="Times New Roman"/>
          <w:sz w:val="32"/>
          <w:szCs w:val="32"/>
        </w:rPr>
      </w:pPr>
      <w:r>
        <w:rPr>
          <w:rFonts w:ascii="宋体" w:eastAsia="宋体" w:hAnsi="宋体" w:cs="Times New Roman" w:hint="eastAsia"/>
          <w:sz w:val="32"/>
          <w:szCs w:val="32"/>
        </w:rPr>
        <w:t>拟安排的项目团队成员情况评价（项目负责人除外）；</w:t>
      </w:r>
    </w:p>
    <w:p>
      <w:pPr>
        <w:numPr>
          <w:ilvl w:val="0"/>
          <w:numId w:val="3"/>
        </w:numPr>
        <w:snapToGrid w:val="0"/>
        <w:spacing w:after="78" w:afterLines="25"/>
        <w:rPr>
          <w:rFonts w:ascii="宋体" w:eastAsia="宋体" w:hAnsi="宋体" w:cs="Times New Roman"/>
          <w:sz w:val="30"/>
          <w:szCs w:val="30"/>
        </w:rPr>
      </w:pPr>
      <w:r>
        <w:rPr>
          <w:rFonts w:ascii="宋体" w:eastAsia="宋体" w:hAnsi="宋体" w:cs="Times New Roman" w:hint="eastAsia"/>
          <w:sz w:val="30"/>
          <w:szCs w:val="30"/>
        </w:rPr>
        <w:t>其他招标文件要求或投标人认为需要补充的内容（非公开）。</w:t>
      </w:r>
    </w:p>
    <w:p>
      <w:pPr>
        <w:snapToGrid w:val="0"/>
        <w:spacing w:after="78" w:afterLines="25"/>
        <w:rPr>
          <w:rFonts w:ascii="宋体" w:eastAsia="宋体" w:hAnsi="宋体" w:cs="Times New Roman"/>
          <w:sz w:val="32"/>
          <w:szCs w:val="32"/>
        </w:rPr>
      </w:pPr>
    </w:p>
    <w:p>
      <w:pPr>
        <w:rPr>
          <w:rFonts w:ascii="宋体" w:hAnsi="宋体"/>
          <w:b/>
          <w:sz w:val="24"/>
          <w:szCs w:val="24"/>
        </w:rPr>
      </w:pPr>
      <w:bookmarkStart w:id="13" w:name="_Hlk72257771"/>
      <w:r>
        <w:rPr>
          <w:rFonts w:ascii="宋体" w:hAnsi="宋体" w:hint="eastAsia"/>
          <w:b/>
          <w:sz w:val="24"/>
          <w:szCs w:val="24"/>
        </w:rPr>
        <w:t>备注：</w:t>
      </w:r>
    </w:p>
    <w:p>
      <w:pPr>
        <w:snapToGrid w:val="0"/>
        <w:spacing w:after="78" w:afterLines="25"/>
        <w:ind w:firstLine="420" w:firstLineChars="200"/>
        <w:rPr>
          <w:rFonts w:ascii="宋体" w:hAnsi="宋体"/>
          <w:b/>
          <w:sz w:val="24"/>
          <w:szCs w:val="24"/>
        </w:rPr>
      </w:pPr>
      <w:r>
        <w:rPr>
          <w:rFonts w:ascii="宋体" w:hAnsi="宋体" w:hint="eastAsia"/>
          <w:b/>
          <w:sz w:val="24"/>
          <w:szCs w:val="24"/>
        </w:rPr>
        <w:t>1.本项目为网上电子投标项目，投标文件不需法人或授权委托人另行签字，无需加盖单位公章，招标文件专用条款另有规定的除外。</w:t>
      </w:r>
    </w:p>
    <w:p>
      <w:pPr>
        <w:snapToGrid w:val="0"/>
        <w:spacing w:after="78" w:afterLines="25"/>
        <w:ind w:firstLine="420" w:firstLineChars="200"/>
        <w:rPr>
          <w:rFonts w:ascii="宋体" w:eastAsia="黑体" w:hAnsi="宋体" w:cs="Times New Roman"/>
          <w:bCs/>
          <w:kern w:val="44"/>
          <w:sz w:val="32"/>
          <w:szCs w:val="32"/>
        </w:rPr>
      </w:pPr>
      <w:bookmarkStart w:id="14" w:name="_Hlk72263559"/>
      <w:r>
        <w:rPr>
          <w:rFonts w:ascii="宋体" w:hAnsi="宋体" w:hint="eastAsia"/>
          <w:b/>
          <w:sz w:val="24"/>
          <w:szCs w:val="24"/>
        </w:rPr>
        <w:t>2.关于填写“开标一览表”的说明：“开标一览表”中除“投标总价”外，其他信息不作评审依据。</w:t>
      </w:r>
      <w:bookmarkEnd w:id="13"/>
      <w:bookmarkEnd w:id="14"/>
      <w:r>
        <w:br w:type="page"/>
      </w:r>
    </w:p>
    <w:p>
      <w:pPr>
        <w:widowControl/>
        <w:jc w:val="left"/>
        <w:outlineLvl w:val="2"/>
        <w:rPr>
          <w:rFonts w:ascii="宋体" w:eastAsia="宋体" w:hAnsi="宋体" w:cs="宋体"/>
          <w:b/>
          <w:color w:val="FF0000"/>
          <w:kern w:val="0"/>
          <w:sz w:val="32"/>
          <w:szCs w:val="32"/>
        </w:rPr>
      </w:pPr>
      <w:r>
        <w:rPr>
          <w:rFonts w:ascii="宋体" w:eastAsia="宋体" w:hAnsi="宋体" w:cs="宋体" w:hint="eastAsia"/>
          <w:b/>
          <w:color w:val="FF0000"/>
          <w:kern w:val="0"/>
          <w:sz w:val="32"/>
          <w:szCs w:val="32"/>
        </w:rPr>
        <w:t>（一）投标文件正文（信息公开部分）</w:t>
      </w:r>
    </w:p>
    <w:p>
      <w:pPr>
        <w:keepNext/>
        <w:keepLines/>
        <w:adjustRightInd w:val="0"/>
        <w:snapToGrid w:val="0"/>
        <w:spacing w:line="360" w:lineRule="auto"/>
        <w:jc w:val="center"/>
        <w:textAlignment w:val="baseline"/>
        <w:outlineLvl w:val="3"/>
        <w:rPr>
          <w:rFonts w:ascii="宋体" w:eastAsia="宋体" w:hAnsi="宋体" w:cs="Times New Roman"/>
          <w:b/>
          <w:bCs/>
          <w:kern w:val="0"/>
          <w:sz w:val="24"/>
          <w:szCs w:val="20"/>
        </w:rPr>
      </w:pPr>
      <w:r>
        <w:rPr>
          <w:rFonts w:ascii="宋体" w:eastAsia="宋体" w:hAnsi="宋体" w:cs="Times New Roman"/>
          <w:b/>
          <w:bCs/>
          <w:kern w:val="0"/>
          <w:sz w:val="24"/>
          <w:szCs w:val="20"/>
        </w:rPr>
        <w:t>1.投标</w:t>
      </w:r>
      <w:r>
        <w:rPr>
          <w:rFonts w:ascii="宋体" w:eastAsia="宋体" w:hAnsi="宋体" w:cs="Times New Roman" w:hint="eastAsia"/>
          <w:b/>
          <w:bCs/>
          <w:kern w:val="0"/>
          <w:sz w:val="24"/>
          <w:szCs w:val="20"/>
        </w:rPr>
        <w:t>函</w:t>
      </w:r>
    </w:p>
    <w:p>
      <w:pPr>
        <w:snapToGrid w:val="0"/>
        <w:spacing w:line="360" w:lineRule="auto"/>
        <w:rPr>
          <w:rFonts w:ascii="Arial" w:eastAsia="宋体" w:hAnsi="Arial" w:cs="Times New Roman"/>
          <w:szCs w:val="24"/>
        </w:rPr>
      </w:pPr>
    </w:p>
    <w:p>
      <w:pPr>
        <w:snapToGrid w:val="0"/>
        <w:spacing w:line="360" w:lineRule="auto"/>
        <w:rPr>
          <w:rFonts w:ascii="Arial" w:eastAsia="宋体" w:hAnsi="Arial" w:cs="Arial"/>
          <w:sz w:val="24"/>
          <w:szCs w:val="24"/>
          <w:u w:val="single"/>
        </w:rPr>
      </w:pPr>
      <w:r>
        <w:rPr>
          <w:rFonts w:ascii="Arial" w:eastAsia="宋体" w:hAnsi="Arial" w:cs="Arial"/>
          <w:sz w:val="24"/>
          <w:szCs w:val="24"/>
        </w:rPr>
        <w:t>致：</w:t>
      </w:r>
      <w:r>
        <w:rPr>
          <w:rFonts w:ascii="Arial" w:eastAsia="宋体" w:hAnsi="Arial" w:cs="Arial" w:hint="eastAsia"/>
          <w:sz w:val="24"/>
          <w:szCs w:val="24"/>
          <w:u w:val="single"/>
        </w:rPr>
        <w:t>深圳公共资源交易中心</w:t>
      </w:r>
    </w:p>
    <w:p>
      <w:pPr>
        <w:snapToGrid w:val="0"/>
        <w:spacing w:line="360" w:lineRule="auto"/>
        <w:ind w:firstLine="560"/>
        <w:rPr>
          <w:rFonts w:ascii="Arial" w:eastAsia="宋体" w:hAnsi="Arial" w:cs="Arial"/>
          <w:sz w:val="24"/>
          <w:szCs w:val="24"/>
        </w:rPr>
      </w:pPr>
      <w:r>
        <w:rPr>
          <w:rFonts w:ascii="Arial" w:eastAsia="宋体" w:hAnsi="Arial" w:cs="Arial"/>
          <w:sz w:val="24"/>
          <w:szCs w:val="24"/>
        </w:rPr>
        <w:t>根据贵方</w:t>
      </w:r>
      <w:r>
        <w:rPr>
          <w:rFonts w:ascii="Arial" w:eastAsia="宋体" w:hAnsi="Arial" w:cs="Arial" w:hint="eastAsia"/>
          <w:sz w:val="24"/>
          <w:szCs w:val="24"/>
        </w:rPr>
        <w:t>项目编号为</w:t>
      </w:r>
      <w:r>
        <w:rPr>
          <w:rFonts w:ascii="Arial" w:eastAsia="宋体" w:hAnsi="Arial" w:cs="Arial" w:hint="eastAsia"/>
          <w:sz w:val="24"/>
          <w:szCs w:val="24"/>
          <w:u w:val="single"/>
        </w:rPr>
        <w:t xml:space="preserve">   BACG2023000328</w:t>
      </w:r>
      <w:r>
        <w:rPr>
          <w:rFonts w:ascii="Arial" w:eastAsia="宋体" w:hAnsi="Arial" w:cs="Arial" w:hint="eastAsia"/>
          <w:sz w:val="24"/>
          <w:szCs w:val="24"/>
        </w:rPr>
        <w:t>的</w:t>
      </w:r>
      <w:r>
        <w:rPr>
          <w:rFonts w:ascii="Arial" w:eastAsia="宋体" w:hAnsi="Arial" w:cs="Arial" w:hint="eastAsia"/>
          <w:sz w:val="24"/>
          <w:szCs w:val="24"/>
          <w:u w:val="single"/>
        </w:rPr>
        <w:t xml:space="preserve">   深圳市宝安区石岩街道办事处南光高速市政化改造工程（一期）房屋征收项目专项法律服务</w:t>
      </w:r>
      <w:r>
        <w:rPr>
          <w:rFonts w:ascii="Arial" w:eastAsia="宋体" w:hAnsi="Arial" w:cs="Arial" w:hint="eastAsia"/>
          <w:sz w:val="24"/>
          <w:szCs w:val="24"/>
        </w:rPr>
        <w:t>项目的招标文件</w:t>
      </w:r>
      <w:r>
        <w:rPr>
          <w:rFonts w:ascii="Arial" w:eastAsia="宋体" w:hAnsi="Arial" w:cs="Arial"/>
          <w:sz w:val="24"/>
          <w:szCs w:val="24"/>
        </w:rPr>
        <w:t>，</w:t>
      </w:r>
      <w:r>
        <w:rPr>
          <w:rFonts w:ascii="Arial" w:eastAsia="宋体" w:hAnsi="Arial" w:cs="Arial" w:hint="eastAsia"/>
          <w:sz w:val="24"/>
          <w:szCs w:val="24"/>
        </w:rPr>
        <w:t>本投标人宣布同意如下</w:t>
      </w:r>
      <w:r>
        <w:rPr>
          <w:rFonts w:ascii="Arial" w:eastAsia="宋体" w:hAnsi="Arial" w:cs="Arial"/>
          <w:sz w:val="24"/>
          <w:szCs w:val="24"/>
        </w:rPr>
        <w:t>：</w:t>
      </w:r>
    </w:p>
    <w:p>
      <w:pPr>
        <w:numPr>
          <w:ilvl w:val="0"/>
          <w:numId w:val="4"/>
        </w:numPr>
        <w:snapToGrid w:val="0"/>
        <w:spacing w:after="78" w:afterLines="25" w:line="360" w:lineRule="auto"/>
        <w:ind w:left="890" w:hanging="365"/>
        <w:rPr>
          <w:rFonts w:ascii="Arial" w:eastAsia="宋体" w:hAnsi="Arial" w:cs="Arial"/>
          <w:sz w:val="24"/>
          <w:szCs w:val="24"/>
        </w:rPr>
      </w:pPr>
      <w:r>
        <w:rPr>
          <w:rFonts w:ascii="Arial" w:eastAsia="宋体" w:hAnsi="Arial" w:cs="Arial"/>
          <w:sz w:val="24"/>
          <w:szCs w:val="24"/>
        </w:rPr>
        <w:t>投标人将按招标文件的规定履行合同责任和义务。</w:t>
      </w:r>
      <w:r>
        <w:rPr>
          <w:rFonts w:ascii="Arial" w:eastAsia="宋体" w:hAnsi="Arial" w:cs="Arial" w:hint="eastAsia"/>
          <w:sz w:val="24"/>
          <w:szCs w:val="24"/>
        </w:rPr>
        <w:t>除非另外达成协议并生效，贵单位的中标通知书和本投标文件将构成合同的重要内容。</w:t>
      </w:r>
    </w:p>
    <w:p>
      <w:pPr>
        <w:numPr>
          <w:ilvl w:val="0"/>
          <w:numId w:val="4"/>
        </w:numPr>
        <w:snapToGrid w:val="0"/>
        <w:spacing w:after="78" w:afterLines="25" w:line="360" w:lineRule="auto"/>
        <w:ind w:left="890" w:hanging="365"/>
        <w:rPr>
          <w:rFonts w:ascii="Arial" w:eastAsia="宋体" w:hAnsi="Arial" w:cs="Arial"/>
          <w:sz w:val="24"/>
          <w:szCs w:val="24"/>
        </w:rPr>
      </w:pPr>
      <w:r>
        <w:rPr>
          <w:rFonts w:ascii="Arial" w:eastAsia="宋体" w:hAnsi="Arial" w:cs="Arial"/>
          <w:sz w:val="24"/>
          <w:szCs w:val="24"/>
        </w:rPr>
        <w:t>投标人已详细审查全部招标文件，包括</w:t>
      </w:r>
      <w:r>
        <w:rPr>
          <w:rFonts w:ascii="Arial" w:eastAsia="宋体" w:hAnsi="Arial" w:cs="Arial" w:hint="eastAsia"/>
          <w:sz w:val="24"/>
          <w:szCs w:val="24"/>
        </w:rPr>
        <w:t>答疑、补充、修改等公告</w:t>
      </w:r>
      <w:r>
        <w:rPr>
          <w:rFonts w:ascii="Arial" w:eastAsia="宋体" w:hAnsi="Arial" w:cs="Arial"/>
          <w:sz w:val="24"/>
          <w:szCs w:val="24"/>
        </w:rPr>
        <w:t>。我们完全理解并同意放弃对这方面有不明及误解的权</w:t>
      </w:r>
      <w:r>
        <w:rPr>
          <w:rFonts w:ascii="Arial" w:eastAsia="宋体" w:hAnsi="Arial" w:cs="Arial" w:hint="eastAsia"/>
          <w:sz w:val="24"/>
          <w:szCs w:val="24"/>
        </w:rPr>
        <w:t>利</w:t>
      </w:r>
      <w:r>
        <w:rPr>
          <w:rFonts w:ascii="Arial" w:eastAsia="宋体" w:hAnsi="Arial" w:cs="Arial"/>
          <w:sz w:val="24"/>
          <w:szCs w:val="24"/>
        </w:rPr>
        <w:t>。</w:t>
      </w:r>
    </w:p>
    <w:p>
      <w:pPr>
        <w:numPr>
          <w:ilvl w:val="0"/>
          <w:numId w:val="4"/>
        </w:numPr>
        <w:snapToGrid w:val="0"/>
        <w:spacing w:after="78" w:afterLines="25" w:line="360" w:lineRule="auto"/>
        <w:ind w:left="890" w:hanging="365"/>
        <w:rPr>
          <w:rFonts w:ascii="Arial" w:eastAsia="宋体" w:hAnsi="Arial" w:cs="Arial"/>
          <w:sz w:val="24"/>
          <w:szCs w:val="24"/>
        </w:rPr>
      </w:pPr>
      <w:r>
        <w:rPr>
          <w:rFonts w:ascii="Arial" w:eastAsia="宋体" w:hAnsi="Arial" w:cs="Arial"/>
          <w:sz w:val="24"/>
          <w:szCs w:val="24"/>
        </w:rPr>
        <w:t>本投标有效期为开标日起</w:t>
      </w:r>
      <w:r>
        <w:rPr>
          <w:rFonts w:ascii="Arial" w:eastAsia="宋体" w:hAnsi="Arial" w:cs="Arial" w:hint="eastAsia"/>
          <w:bCs/>
          <w:sz w:val="24"/>
          <w:szCs w:val="24"/>
        </w:rPr>
        <w:t>__</w:t>
      </w:r>
      <w:r>
        <w:rPr>
          <w:rFonts w:ascii="Arial" w:eastAsia="宋体" w:hAnsi="Arial" w:cs="Arial" w:hint="eastAsia"/>
          <w:bCs/>
          <w:sz w:val="24"/>
          <w:szCs w:val="24"/>
          <w:u w:val="single"/>
        </w:rPr>
        <w:t>120</w:t>
      </w:r>
      <w:r>
        <w:rPr>
          <w:rFonts w:ascii="Arial" w:eastAsia="宋体" w:hAnsi="Arial" w:cs="Arial" w:hint="eastAsia"/>
          <w:bCs/>
          <w:sz w:val="24"/>
          <w:szCs w:val="24"/>
        </w:rPr>
        <w:t>__</w:t>
      </w:r>
      <w:r>
        <w:rPr>
          <w:rFonts w:ascii="Arial" w:eastAsia="宋体" w:hAnsi="Arial" w:cs="Arial"/>
          <w:sz w:val="24"/>
          <w:szCs w:val="24"/>
        </w:rPr>
        <w:t>个日历日。</w:t>
      </w:r>
    </w:p>
    <w:p>
      <w:pPr>
        <w:numPr>
          <w:ilvl w:val="0"/>
          <w:numId w:val="4"/>
        </w:numPr>
        <w:snapToGrid w:val="0"/>
        <w:spacing w:after="78" w:afterLines="25" w:line="360" w:lineRule="auto"/>
        <w:ind w:left="890" w:hanging="365"/>
        <w:rPr>
          <w:rFonts w:ascii="Arial" w:eastAsia="宋体" w:hAnsi="Arial" w:cs="Arial"/>
          <w:sz w:val="24"/>
          <w:szCs w:val="24"/>
        </w:rPr>
      </w:pPr>
      <w:r>
        <w:rPr>
          <w:rFonts w:ascii="Arial" w:eastAsia="宋体" w:hAnsi="Arial" w:cs="Arial" w:hint="eastAsia"/>
          <w:sz w:val="24"/>
          <w:szCs w:val="24"/>
        </w:rPr>
        <w:t>投标人同意提供按照贵方可能要求的与其投标有关的一切数据或资料，完全理解贵方不一定接受最低价的投标或收到的任何投标。</w:t>
      </w:r>
    </w:p>
    <w:p>
      <w:pPr>
        <w:snapToGrid w:val="0"/>
        <w:spacing w:line="360" w:lineRule="auto"/>
        <w:ind w:firstLine="560"/>
        <w:rPr>
          <w:rFonts w:ascii="Arial" w:eastAsia="宋体" w:hAnsi="Arial" w:cs="Arial"/>
          <w:sz w:val="24"/>
          <w:szCs w:val="24"/>
        </w:rPr>
      </w:pPr>
    </w:p>
    <w:p>
      <w:pPr>
        <w:snapToGrid w:val="0"/>
        <w:spacing w:line="360" w:lineRule="auto"/>
        <w:rPr>
          <w:rFonts w:ascii="Arial" w:eastAsia="宋体" w:hAnsi="Arial" w:cs="Arial"/>
          <w:sz w:val="24"/>
          <w:szCs w:val="24"/>
          <w:u w:val="single"/>
        </w:rPr>
      </w:pPr>
      <w:r>
        <w:rPr>
          <w:rFonts w:ascii="Arial" w:eastAsia="宋体" w:hAnsi="Arial" w:cs="Arial"/>
          <w:sz w:val="24"/>
          <w:szCs w:val="24"/>
        </w:rPr>
        <w:t>投标</w:t>
      </w:r>
      <w:r>
        <w:rPr>
          <w:rFonts w:ascii="Arial" w:eastAsia="宋体" w:hAnsi="Arial" w:cs="Arial" w:hint="eastAsia"/>
          <w:sz w:val="24"/>
          <w:szCs w:val="24"/>
        </w:rPr>
        <w:t>单位（投标人）</w:t>
      </w:r>
      <w:r>
        <w:rPr>
          <w:rFonts w:ascii="Arial" w:eastAsia="宋体" w:hAnsi="Arial" w:cs="Arial"/>
          <w:sz w:val="24"/>
          <w:szCs w:val="24"/>
        </w:rPr>
        <w:t>名称</w:t>
      </w:r>
      <w:r>
        <w:rPr>
          <w:rFonts w:ascii="Arial" w:eastAsia="宋体" w:hAnsi="Arial" w:cs="Arial" w:hint="eastAsia"/>
          <w:sz w:val="24"/>
          <w:szCs w:val="24"/>
        </w:rPr>
        <w:t>：</w:t>
      </w:r>
    </w:p>
    <w:p>
      <w:pPr>
        <w:snapToGrid w:val="0"/>
        <w:spacing w:line="360" w:lineRule="auto"/>
        <w:rPr>
          <w:rFonts w:ascii="Arial" w:eastAsia="宋体" w:hAnsi="Arial" w:cs="Arial"/>
          <w:sz w:val="24"/>
          <w:szCs w:val="24"/>
        </w:rPr>
      </w:pPr>
      <w:r>
        <w:rPr>
          <w:rFonts w:ascii="Arial" w:eastAsia="宋体" w:hAnsi="Arial" w:cs="Arial" w:hint="eastAsia"/>
          <w:sz w:val="24"/>
          <w:szCs w:val="24"/>
        </w:rPr>
        <w:t>办公</w:t>
      </w:r>
      <w:r>
        <w:rPr>
          <w:rFonts w:ascii="Arial" w:eastAsia="宋体" w:hAnsi="Arial" w:cs="Arial"/>
          <w:sz w:val="24"/>
          <w:szCs w:val="24"/>
        </w:rPr>
        <w:t>地址</w:t>
      </w:r>
      <w:r>
        <w:rPr>
          <w:rFonts w:ascii="Arial" w:eastAsia="宋体" w:hAnsi="Arial" w:cs="Arial" w:hint="eastAsia"/>
          <w:sz w:val="24"/>
          <w:szCs w:val="24"/>
        </w:rPr>
        <w:t>：</w:t>
      </w:r>
    </w:p>
    <w:p>
      <w:pPr>
        <w:snapToGrid w:val="0"/>
        <w:spacing w:line="360" w:lineRule="auto"/>
        <w:rPr>
          <w:rFonts w:ascii="Arial" w:eastAsia="宋体" w:hAnsi="Arial" w:cs="Arial"/>
          <w:sz w:val="24"/>
          <w:szCs w:val="24"/>
          <w:u w:val="single"/>
        </w:rPr>
      </w:pPr>
      <w:r>
        <w:rPr>
          <w:rFonts w:ascii="Arial" w:eastAsia="宋体" w:hAnsi="Arial" w:cs="Arial" w:hint="eastAsia"/>
          <w:sz w:val="24"/>
          <w:szCs w:val="24"/>
        </w:rPr>
        <w:t>办公</w:t>
      </w:r>
      <w:r>
        <w:rPr>
          <w:rFonts w:ascii="Arial" w:eastAsia="宋体" w:hAnsi="Arial" w:cs="Arial"/>
          <w:sz w:val="24"/>
          <w:szCs w:val="24"/>
        </w:rPr>
        <w:t>电话</w:t>
      </w:r>
      <w:r>
        <w:rPr>
          <w:rFonts w:ascii="Arial" w:eastAsia="宋体" w:hAnsi="Arial" w:cs="Arial" w:hint="eastAsia"/>
          <w:sz w:val="24"/>
          <w:szCs w:val="24"/>
        </w:rPr>
        <w:t>：</w:t>
      </w:r>
    </w:p>
    <w:p>
      <w:pPr>
        <w:snapToGrid w:val="0"/>
        <w:spacing w:line="360" w:lineRule="auto"/>
        <w:rPr>
          <w:rFonts w:ascii="Arial" w:eastAsia="宋体" w:hAnsi="Arial" w:cs="Arial"/>
          <w:sz w:val="24"/>
          <w:szCs w:val="24"/>
          <w:u w:val="single"/>
        </w:rPr>
      </w:pPr>
      <w:r>
        <w:rPr>
          <w:rFonts w:ascii="Arial" w:eastAsia="宋体" w:hAnsi="Arial" w:cs="Arial" w:hint="eastAsia"/>
          <w:sz w:val="24"/>
          <w:szCs w:val="24"/>
        </w:rPr>
        <w:t>办公</w:t>
      </w:r>
      <w:r>
        <w:rPr>
          <w:rFonts w:ascii="Arial" w:eastAsia="宋体" w:hAnsi="Arial" w:cs="Arial"/>
          <w:sz w:val="24"/>
          <w:szCs w:val="24"/>
        </w:rPr>
        <w:t>传真</w:t>
      </w:r>
      <w:r>
        <w:rPr>
          <w:rFonts w:ascii="Arial" w:eastAsia="宋体" w:hAnsi="Arial" w:cs="Arial" w:hint="eastAsia"/>
          <w:sz w:val="24"/>
          <w:szCs w:val="24"/>
        </w:rPr>
        <w:t>：</w:t>
      </w:r>
    </w:p>
    <w:p>
      <w:pPr>
        <w:snapToGrid w:val="0"/>
        <w:spacing w:line="360" w:lineRule="auto"/>
        <w:rPr>
          <w:rFonts w:ascii="Arial" w:eastAsia="宋体" w:hAnsi="Arial" w:cs="Arial"/>
          <w:b/>
          <w:sz w:val="24"/>
          <w:szCs w:val="24"/>
        </w:rPr>
      </w:pPr>
      <w:r>
        <w:rPr>
          <w:rFonts w:ascii="Arial" w:eastAsia="宋体" w:hAnsi="Arial" w:cs="Arial"/>
          <w:b/>
          <w:sz w:val="24"/>
          <w:szCs w:val="24"/>
        </w:rPr>
        <w:t>电子</w:t>
      </w:r>
      <w:r>
        <w:rPr>
          <w:rFonts w:ascii="Arial" w:eastAsia="宋体" w:hAnsi="Arial" w:cs="Arial" w:hint="eastAsia"/>
          <w:b/>
          <w:sz w:val="24"/>
          <w:szCs w:val="24"/>
        </w:rPr>
        <w:t>邮箱：</w:t>
      </w:r>
    </w:p>
    <w:p>
      <w:pPr>
        <w:snapToGrid w:val="0"/>
        <w:spacing w:line="360" w:lineRule="auto"/>
        <w:ind w:firstLine="560"/>
        <w:rPr>
          <w:rFonts w:ascii="Arial" w:eastAsia="宋体" w:hAnsi="Arial" w:cs="Arial"/>
          <w:sz w:val="24"/>
          <w:szCs w:val="24"/>
        </w:rPr>
      </w:pPr>
    </w:p>
    <w:p>
      <w:pPr>
        <w:snapToGrid w:val="0"/>
        <w:spacing w:line="360" w:lineRule="auto"/>
        <w:rPr>
          <w:rFonts w:ascii="Arial" w:eastAsia="宋体" w:hAnsi="Arial" w:cs="Arial"/>
          <w:sz w:val="24"/>
          <w:szCs w:val="24"/>
          <w:u w:val="single"/>
        </w:rPr>
      </w:pPr>
      <w:r>
        <w:rPr>
          <w:rFonts w:ascii="Arial" w:eastAsia="宋体" w:hAnsi="Arial" w:cs="Arial" w:hint="eastAsia"/>
          <w:sz w:val="24"/>
          <w:szCs w:val="24"/>
        </w:rPr>
        <w:t>法定代表人（负责人）或</w:t>
      </w:r>
      <w:r>
        <w:rPr>
          <w:rFonts w:ascii="Arial" w:eastAsia="宋体" w:hAnsi="Arial" w:cs="Arial"/>
          <w:sz w:val="24"/>
          <w:szCs w:val="24"/>
        </w:rPr>
        <w:t>投标人代表</w:t>
      </w:r>
      <w:r>
        <w:rPr>
          <w:rFonts w:ascii="Arial" w:eastAsia="宋体" w:hAnsi="Arial" w:cs="Arial" w:hint="eastAsia"/>
          <w:sz w:val="24"/>
          <w:szCs w:val="24"/>
        </w:rPr>
        <w:t>：</w:t>
      </w:r>
    </w:p>
    <w:p>
      <w:pPr>
        <w:snapToGrid w:val="0"/>
        <w:spacing w:line="360" w:lineRule="auto"/>
        <w:rPr>
          <w:rFonts w:ascii="Arial" w:eastAsia="宋体" w:hAnsi="Arial" w:cs="Arial"/>
          <w:sz w:val="24"/>
          <w:szCs w:val="24"/>
        </w:rPr>
      </w:pPr>
      <w:r>
        <w:rPr>
          <w:rFonts w:ascii="Arial" w:eastAsia="宋体" w:hAnsi="Arial" w:cs="Arial" w:hint="eastAsia"/>
          <w:sz w:val="24"/>
          <w:szCs w:val="24"/>
        </w:rPr>
        <w:t>联系电话：</w:t>
      </w:r>
    </w:p>
    <w:p>
      <w:pPr>
        <w:snapToGrid w:val="0"/>
        <w:spacing w:line="360" w:lineRule="auto"/>
        <w:rPr>
          <w:rFonts w:ascii="Arial" w:eastAsia="宋体" w:hAnsi="Arial" w:cs="Arial"/>
          <w:sz w:val="24"/>
          <w:szCs w:val="24"/>
          <w:u w:val="single"/>
        </w:rPr>
      </w:pPr>
      <w:r>
        <w:rPr>
          <w:rFonts w:ascii="Arial" w:eastAsia="宋体" w:hAnsi="Arial" w:cs="Arial"/>
          <w:sz w:val="24"/>
          <w:szCs w:val="24"/>
        </w:rPr>
        <w:t>日期</w:t>
      </w:r>
      <w:r>
        <w:rPr>
          <w:rFonts w:ascii="Arial" w:eastAsia="宋体" w:hAnsi="Arial" w:cs="Arial" w:hint="eastAsia"/>
          <w:sz w:val="24"/>
          <w:szCs w:val="24"/>
        </w:rPr>
        <w:t>：</w:t>
      </w:r>
    </w:p>
    <w:p>
      <w:pPr>
        <w:snapToGrid w:val="0"/>
        <w:spacing w:line="360" w:lineRule="auto"/>
        <w:rPr>
          <w:rFonts w:ascii="Arial" w:eastAsia="宋体" w:hAnsi="Arial" w:cs="Times New Roman"/>
          <w:sz w:val="24"/>
          <w:szCs w:val="24"/>
        </w:rPr>
      </w:pPr>
    </w:p>
    <w:p>
      <w:pPr>
        <w:spacing w:after="78" w:afterLines="25" w:line="300" w:lineRule="auto"/>
        <w:ind w:firstLine="420" w:firstLineChars="200"/>
        <w:rPr>
          <w:rFonts w:ascii="Arial" w:eastAsia="宋体" w:hAnsi="Arial" w:cs="Times New Roman"/>
          <w:sz w:val="24"/>
          <w:szCs w:val="24"/>
        </w:rPr>
      </w:pPr>
      <w:r>
        <w:rPr>
          <w:rFonts w:ascii="Arial" w:eastAsia="宋体" w:hAnsi="Arial" w:cs="Arial" w:hint="eastAsia"/>
          <w:szCs w:val="24"/>
        </w:rPr>
        <w:t>备注：为缓解中小企业融资难题，我市推出政府采购订单融资改革举措。订单融资具体流程及试点金融机构订单融资服务承诺可参阅深圳市政府采购监管网（www.zfcg.sz.gov.cn）信息公开栏目或深圳政府采购网（www.cgzx.sz.gov.cn）政府采购订单融资栏目。如需解决融资难题，请投标人填写财务负责人或企业负责人联系方式，以便金融机构提供更精准的融资服务。财务负责人/企业负责人的联系方式（可选填项）：。</w:t>
      </w:r>
    </w:p>
    <w:p>
      <w:pPr>
        <w:keepNext/>
        <w:keepLines/>
        <w:pageBreakBefore/>
        <w:adjustRightInd w:val="0"/>
        <w:snapToGrid w:val="0"/>
        <w:spacing w:line="360" w:lineRule="auto"/>
        <w:jc w:val="center"/>
        <w:textAlignment w:val="baseline"/>
        <w:outlineLvl w:val="3"/>
        <w:rPr>
          <w:rFonts w:ascii="宋体" w:eastAsia="宋体" w:hAnsi="宋体" w:cs="Times New Roman"/>
          <w:b/>
          <w:bCs/>
          <w:kern w:val="0"/>
          <w:sz w:val="24"/>
          <w:szCs w:val="20"/>
        </w:rPr>
      </w:pPr>
      <w:r>
        <w:rPr>
          <w:rFonts w:ascii="宋体" w:eastAsia="宋体" w:hAnsi="宋体" w:cs="Times New Roman" w:hint="eastAsia"/>
          <w:b/>
          <w:bCs/>
          <w:kern w:val="0"/>
          <w:sz w:val="24"/>
          <w:szCs w:val="20"/>
        </w:rPr>
        <w:t>2.政府采购投标及履约承诺函</w:t>
      </w:r>
    </w:p>
    <w:p>
      <w:pPr>
        <w:adjustRightInd w:val="0"/>
        <w:snapToGrid w:val="0"/>
        <w:rPr>
          <w:rFonts w:ascii="宋体" w:eastAsia="宋体" w:hAnsi="宋体" w:cs="Times New Roman"/>
          <w:sz w:val="24"/>
          <w:szCs w:val="24"/>
        </w:rPr>
      </w:pPr>
      <w:r>
        <w:rPr>
          <w:rFonts w:ascii="宋体" w:eastAsia="宋体" w:hAnsi="宋体" w:cs="Times New Roman" w:hint="eastAsia"/>
          <w:sz w:val="24"/>
          <w:szCs w:val="24"/>
        </w:rPr>
        <w:t>致：</w:t>
      </w:r>
      <w:r>
        <w:rPr>
          <w:rFonts w:ascii="宋体" w:eastAsia="宋体" w:hAnsi="宋体" w:cs="Times New Roman" w:hint="eastAsia"/>
          <w:sz w:val="24"/>
          <w:szCs w:val="24"/>
          <w:u w:val="single"/>
        </w:rPr>
        <w:t>深圳公共资源交易中心</w:t>
      </w:r>
    </w:p>
    <w:p>
      <w:pPr>
        <w:ind w:right="-815" w:firstLine="420" w:firstLineChars="200"/>
        <w:rPr>
          <w:rFonts w:ascii="宋体" w:eastAsia="宋体" w:hAnsi="宋体" w:cs="Times New Roman"/>
          <w:szCs w:val="21"/>
        </w:rPr>
      </w:pPr>
      <w:r>
        <w:rPr>
          <w:rFonts w:ascii="宋体" w:eastAsia="宋体" w:hAnsi="宋体" w:cs="Times New Roman" w:hint="eastAsia"/>
          <w:szCs w:val="21"/>
        </w:rPr>
        <w:t>我单位承诺：</w:t>
      </w:r>
    </w:p>
    <w:p>
      <w:pPr>
        <w:ind w:firstLine="420" w:firstLineChars="200"/>
        <w:rPr>
          <w:rFonts w:ascii="宋体" w:eastAsia="宋体" w:hAnsi="宋体" w:cs="Times New Roman"/>
          <w:b/>
          <w:szCs w:val="21"/>
        </w:rPr>
      </w:pPr>
      <w:r>
        <w:rPr>
          <w:rFonts w:ascii="宋体" w:eastAsia="宋体" w:hAnsi="宋体" w:cs="Times New Roman" w:hint="eastAsia"/>
          <w:bCs/>
          <w:szCs w:val="21"/>
        </w:rPr>
        <w:t>1.我单位参与本项目所投标（响应）的货物、工程或服务，不存在侵犯知识产权的情况。</w:t>
      </w:r>
    </w:p>
    <w:p>
      <w:pPr>
        <w:ind w:firstLine="420" w:firstLineChars="200"/>
        <w:rPr>
          <w:rFonts w:ascii="宋体" w:eastAsia="宋体" w:hAnsi="宋体" w:cs="Times New Roman"/>
          <w:szCs w:val="21"/>
        </w:rPr>
      </w:pPr>
      <w:r>
        <w:rPr>
          <w:rFonts w:ascii="宋体" w:eastAsia="宋体" w:hAnsi="宋体" w:cs="Times New Roman" w:hint="eastAsia"/>
          <w:szCs w:val="21"/>
        </w:rPr>
        <w:t>2.我单位参与本项目</w:t>
      </w:r>
      <w:r>
        <w:rPr>
          <w:rFonts w:ascii="Times New Roman" w:eastAsia="宋体" w:hAnsi="Times New Roman" w:cs="Times New Roman" w:hint="eastAsia"/>
          <w:szCs w:val="24"/>
        </w:rPr>
        <w:t>政府采购活动时不存在被有关部门禁止参与政府采购活动且在有效期内的情况。</w:t>
      </w:r>
    </w:p>
    <w:p>
      <w:pPr>
        <w:ind w:firstLine="420" w:firstLineChars="200"/>
        <w:rPr>
          <w:rFonts w:ascii="宋体" w:eastAsia="宋体" w:hAnsi="宋体" w:cs="Times New Roman"/>
          <w:szCs w:val="21"/>
        </w:rPr>
      </w:pPr>
      <w:r>
        <w:rPr>
          <w:rFonts w:ascii="宋体" w:eastAsia="宋体" w:hAnsi="宋体" w:cs="Times New Roman" w:hint="eastAsia"/>
          <w:szCs w:val="21"/>
        </w:rPr>
        <w:t>3.我单位具备《中华人民共和国政府采购法》第二十二条第一款规定的六项条件。</w:t>
      </w:r>
    </w:p>
    <w:p>
      <w:pPr>
        <w:ind w:firstLine="420" w:firstLineChars="200"/>
        <w:rPr>
          <w:rFonts w:ascii="宋体" w:eastAsia="宋体" w:hAnsi="宋体" w:cs="Times New Roman"/>
          <w:szCs w:val="21"/>
        </w:rPr>
      </w:pPr>
      <w:r>
        <w:rPr>
          <w:rFonts w:ascii="宋体" w:eastAsia="宋体" w:hAnsi="宋体" w:cs="Times New Roman" w:hint="eastAsia"/>
          <w:szCs w:val="21"/>
        </w:rPr>
        <w:t>4.我单位</w:t>
      </w:r>
      <w:r>
        <w:rPr>
          <w:rFonts w:ascii="Times New Roman" w:eastAsia="宋体" w:hAnsi="Times New Roman" w:cs="Times New Roman" w:hint="eastAsia"/>
          <w:szCs w:val="24"/>
        </w:rPr>
        <w:t>未被列入失信被执行人、重大税收违法案件当事人名单、政府采购严重违法失信行为记录名单。</w:t>
      </w:r>
    </w:p>
    <w:p>
      <w:pPr>
        <w:ind w:firstLine="420" w:firstLineChars="200"/>
        <w:rPr>
          <w:rFonts w:ascii="宋体" w:eastAsia="宋体" w:hAnsi="宋体" w:cs="Times New Roman"/>
          <w:szCs w:val="21"/>
        </w:rPr>
      </w:pPr>
      <w:r>
        <w:rPr>
          <w:rFonts w:ascii="宋体" w:eastAsia="宋体" w:hAnsi="宋体" w:cs="Times New Roman" w:hint="eastAsia"/>
          <w:szCs w:val="21"/>
        </w:rPr>
        <w:t>5.</w:t>
      </w:r>
      <w:bookmarkStart w:id="15" w:name="_Hlk72587269"/>
      <w:bookmarkStart w:id="16" w:name="_Hlk72587299"/>
      <w:r>
        <w:rPr>
          <w:rFonts w:ascii="宋体" w:eastAsia="宋体" w:hAnsi="宋体" w:cs="Times New Roman"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5"/>
      <w:r>
        <w:rPr>
          <w:rFonts w:ascii="宋体" w:eastAsia="宋体" w:hAnsi="宋体" w:cs="Times New Roman" w:hint="eastAsia"/>
          <w:szCs w:val="21"/>
        </w:rPr>
        <w:t>。</w:t>
      </w:r>
      <w:bookmarkEnd w:id="16"/>
    </w:p>
    <w:p>
      <w:pPr>
        <w:ind w:firstLine="420" w:firstLineChars="200"/>
        <w:rPr>
          <w:rFonts w:ascii="宋体" w:eastAsia="宋体" w:hAnsi="宋体" w:cs="Times New Roman"/>
          <w:szCs w:val="21"/>
        </w:rPr>
      </w:pPr>
      <w:r>
        <w:rPr>
          <w:rFonts w:ascii="宋体" w:eastAsia="宋体" w:hAnsi="宋体" w:cs="Times New Roman" w:hint="eastAsia"/>
          <w:szCs w:val="21"/>
        </w:rPr>
        <w:t>6.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eastAsia="宋体" w:hAnsi="宋体" w:cs="Times New Roman"/>
          <w:szCs w:val="21"/>
        </w:rPr>
      </w:pPr>
      <w:r>
        <w:rPr>
          <w:rFonts w:ascii="宋体" w:eastAsia="宋体" w:hAnsi="宋体" w:cs="Times New Roman"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eastAsia="宋体" w:hAnsi="宋体" w:cs="Times New Roman"/>
          <w:szCs w:val="21"/>
        </w:rPr>
      </w:pPr>
      <w:r>
        <w:rPr>
          <w:rFonts w:ascii="宋体" w:eastAsia="宋体" w:hAnsi="宋体" w:cs="Times New Roman" w:hint="eastAsia"/>
          <w:szCs w:val="21"/>
        </w:rPr>
        <w:t>7.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eastAsia="宋体" w:hAnsi="宋体" w:cs="Times New Roman"/>
          <w:szCs w:val="21"/>
        </w:rPr>
      </w:pPr>
      <w:r>
        <w:rPr>
          <w:rFonts w:ascii="宋体" w:eastAsia="宋体" w:hAnsi="宋体" w:cs="Times New Roman" w:hint="eastAsia"/>
          <w:szCs w:val="21"/>
        </w:rPr>
        <w:t>8.我单位承诺中标后项目不转包，未经采购人同意不进行分包。</w:t>
      </w:r>
    </w:p>
    <w:p>
      <w:pPr>
        <w:ind w:firstLine="420" w:firstLineChars="200"/>
        <w:rPr>
          <w:rFonts w:ascii="宋体" w:eastAsia="宋体" w:hAnsi="宋体" w:cs="Times New Roman"/>
          <w:szCs w:val="24"/>
        </w:rPr>
      </w:pPr>
      <w:r>
        <w:rPr>
          <w:rFonts w:ascii="宋体" w:eastAsia="宋体" w:hAnsi="宋体" w:cs="Times New Roman" w:hint="eastAsia"/>
          <w:szCs w:val="21"/>
        </w:rPr>
        <w:t>9</w:t>
      </w:r>
      <w:r>
        <w:rPr>
          <w:rFonts w:ascii="宋体" w:eastAsia="宋体" w:hAnsi="宋体" w:cs="Times New Roman"/>
          <w:szCs w:val="21"/>
        </w:rPr>
        <w:t>.</w:t>
      </w:r>
      <w:r>
        <w:rPr>
          <w:rFonts w:ascii="宋体" w:eastAsia="宋体" w:hAnsi="宋体" w:cs="Times New Roman" w:hint="eastAsia"/>
          <w:szCs w:val="24"/>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eastAsia="宋体" w:hAnsi="宋体" w:cs="Times New Roman"/>
          <w:szCs w:val="24"/>
        </w:rPr>
      </w:pPr>
      <w:r>
        <w:rPr>
          <w:rFonts w:ascii="宋体" w:eastAsia="宋体" w:hAnsi="宋体" w:cs="Times New Roman" w:hint="eastAsia"/>
          <w:szCs w:val="24"/>
        </w:rPr>
        <w:t>10</w:t>
      </w:r>
      <w:r>
        <w:rPr>
          <w:rFonts w:ascii="宋体" w:eastAsia="宋体" w:hAnsi="宋体" w:cs="Times New Roman"/>
          <w:szCs w:val="24"/>
        </w:rPr>
        <w:t>.</w:t>
      </w:r>
      <w:r>
        <w:rPr>
          <w:rFonts w:ascii="宋体" w:eastAsia="宋体" w:hAnsi="宋体" w:cs="Times New Roman" w:hint="eastAsia"/>
          <w:szCs w:val="24"/>
        </w:rPr>
        <w:t>我单位保证，若所投货物涉及</w:t>
      </w:r>
      <w:r>
        <w:rPr>
          <w:rFonts w:ascii="宋体" w:eastAsia="宋体" w:hAnsi="宋体" w:cs="Times New Roman"/>
          <w:szCs w:val="24"/>
        </w:rPr>
        <w:t>《</w:t>
      </w:r>
      <w:r>
        <w:rPr>
          <w:rFonts w:ascii="宋体" w:eastAsia="宋体" w:hAnsi="宋体" w:cs="Times New Roman" w:hint="eastAsia"/>
          <w:szCs w:val="24"/>
        </w:rPr>
        <w:t>财政部生态环境部关于印发节能产品政府采购品目清单的通知》（财库〔20</w:t>
      </w:r>
      <w:r>
        <w:rPr>
          <w:rFonts w:ascii="宋体" w:eastAsia="宋体" w:hAnsi="宋体" w:cs="Times New Roman"/>
          <w:szCs w:val="24"/>
        </w:rPr>
        <w:t>19</w:t>
      </w:r>
      <w:r>
        <w:rPr>
          <w:rFonts w:ascii="宋体" w:eastAsia="宋体" w:hAnsi="宋体" w:cs="Times New Roman" w:hint="eastAsia"/>
          <w:szCs w:val="24"/>
        </w:rPr>
        <w:t>〕</w:t>
      </w:r>
      <w:r>
        <w:rPr>
          <w:rFonts w:ascii="宋体" w:eastAsia="宋体" w:hAnsi="宋体" w:cs="Times New Roman"/>
          <w:szCs w:val="24"/>
        </w:rPr>
        <w:t>19</w:t>
      </w:r>
      <w:r>
        <w:rPr>
          <w:rFonts w:ascii="宋体" w:eastAsia="宋体" w:hAnsi="宋体" w:cs="Times New Roman" w:hint="eastAsia"/>
          <w:szCs w:val="24"/>
        </w:rPr>
        <w:t>号）列明的政府采购强制产品，则所投该产品符合节能产品的认证要求。</w:t>
      </w:r>
    </w:p>
    <w:p>
      <w:pPr>
        <w:ind w:firstLine="420" w:firstLineChars="200"/>
        <w:rPr>
          <w:rFonts w:ascii="宋体" w:eastAsia="宋体" w:hAnsi="宋体" w:cs="Times New Roman"/>
          <w:bCs/>
          <w:szCs w:val="24"/>
        </w:rPr>
      </w:pPr>
      <w:r>
        <w:rPr>
          <w:rFonts w:ascii="宋体" w:eastAsia="宋体" w:hAnsi="宋体" w:cs="宋体" w:hint="eastAsia"/>
          <w:bCs/>
          <w:kern w:val="0"/>
          <w:szCs w:val="21"/>
        </w:rPr>
        <w:t>11.</w:t>
      </w:r>
      <w:r>
        <w:rPr>
          <w:rFonts w:ascii="宋体" w:eastAsia="宋体" w:hAnsi="宋体" w:cs="Times New Roman" w:hint="eastAsia"/>
          <w:bCs/>
          <w:szCs w:val="24"/>
        </w:rPr>
        <w:t>我单位已知悉并同意中标（成交）结果信息公示（公开）的内容。</w:t>
      </w:r>
    </w:p>
    <w:p>
      <w:pPr>
        <w:ind w:firstLine="420" w:firstLineChars="200"/>
        <w:rPr>
          <w:rFonts w:ascii="宋体" w:eastAsia="宋体" w:hAnsi="宋体" w:cs="宋体"/>
          <w:b/>
          <w:kern w:val="0"/>
          <w:szCs w:val="21"/>
        </w:rPr>
      </w:pPr>
      <w:r>
        <w:rPr>
          <w:rFonts w:ascii="宋体" w:eastAsia="宋体" w:hAnsi="宋体" w:cs="Times New Roman" w:hint="eastAsia"/>
          <w:bCs/>
          <w:szCs w:val="24"/>
        </w:rPr>
        <w:t>12</w:t>
      </w:r>
      <w:r>
        <w:rPr>
          <w:rFonts w:ascii="宋体" w:eastAsia="宋体" w:hAnsi="宋体" w:cs="Times New Roman"/>
          <w:bCs/>
          <w:szCs w:val="24"/>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p>
    <w:p>
      <w:pPr>
        <w:ind w:firstLine="420" w:firstLineChars="200"/>
        <w:rPr>
          <w:rFonts w:ascii="宋体" w:eastAsia="宋体" w:hAnsi="宋体" w:cs="Times New Roman"/>
          <w:b/>
          <w:szCs w:val="21"/>
        </w:rPr>
      </w:pPr>
      <w:r>
        <w:rPr>
          <w:rFonts w:ascii="宋体" w:eastAsia="宋体" w:hAnsi="宋体" w:cs="Times New Roman" w:hint="eastAsia"/>
          <w:b/>
          <w:szCs w:val="24"/>
        </w:rPr>
        <w:t>13.我单位清楚，如存在违反投标承诺行为情节严重的，将根据《深圳市财政局关于印发&lt;深圳市财政局政府采购供应商信用信息管理办法&gt;的通知》，依法被列入失信信息。</w:t>
      </w:r>
    </w:p>
    <w:p>
      <w:pPr>
        <w:ind w:firstLine="420" w:firstLineChars="200"/>
        <w:rPr>
          <w:rFonts w:ascii="宋体" w:eastAsia="宋体" w:hAnsi="宋体" w:cs="Times New Roman"/>
          <w:szCs w:val="24"/>
        </w:rPr>
      </w:pPr>
    </w:p>
    <w:p>
      <w:pPr>
        <w:ind w:firstLine="420" w:firstLineChars="200"/>
        <w:rPr>
          <w:rFonts w:ascii="宋体" w:eastAsia="宋体" w:hAnsi="宋体" w:cs="Times New Roman"/>
          <w:szCs w:val="21"/>
        </w:rPr>
      </w:pPr>
      <w:r>
        <w:rPr>
          <w:rFonts w:ascii="宋体" w:eastAsia="宋体" w:hAnsi="宋体" w:cs="Times New Roman" w:hint="eastAsia"/>
          <w:szCs w:val="21"/>
        </w:rPr>
        <w:t>以上承诺，如有违反，愿依照国家相关法律法规处理，并承担由此给采购人带来的损失。</w:t>
      </w:r>
    </w:p>
    <w:p>
      <w:pPr>
        <w:ind w:firstLine="420" w:firstLineChars="200"/>
        <w:rPr>
          <w:rFonts w:ascii="宋体" w:eastAsia="宋体" w:hAnsi="宋体" w:cs="Times New Roman"/>
          <w:szCs w:val="21"/>
        </w:rPr>
      </w:pPr>
    </w:p>
    <w:p>
      <w:pPr>
        <w:snapToGrid w:val="0"/>
        <w:ind w:right="420"/>
        <w:rPr>
          <w:rFonts w:ascii="宋体" w:eastAsia="宋体" w:hAnsi="宋体" w:cs="Times New Roman"/>
          <w:sz w:val="24"/>
          <w:szCs w:val="24"/>
        </w:rPr>
      </w:pPr>
      <w:r>
        <w:rPr>
          <w:rFonts w:ascii="宋体" w:eastAsia="宋体" w:hAnsi="宋体" w:cs="Times New Roman" w:hint="eastAsia"/>
          <w:sz w:val="24"/>
          <w:szCs w:val="24"/>
        </w:rPr>
        <w:t xml:space="preserve">                        投标单位（投标人）名称：</w:t>
      </w:r>
    </w:p>
    <w:p>
      <w:pPr>
        <w:snapToGrid w:val="0"/>
        <w:ind w:right="450" w:firstLine="420" w:firstLineChars="200"/>
        <w:jc w:val="right"/>
        <w:rPr>
          <w:rFonts w:ascii="宋体" w:eastAsia="宋体" w:hAnsi="宋体" w:cs="Times New Roman"/>
          <w:sz w:val="24"/>
          <w:szCs w:val="24"/>
        </w:rPr>
      </w:pPr>
      <w:r>
        <w:rPr>
          <w:rFonts w:ascii="宋体" w:eastAsia="宋体" w:hAnsi="宋体" w:cs="Times New Roman" w:hint="eastAsia"/>
          <w:sz w:val="24"/>
          <w:szCs w:val="24"/>
        </w:rPr>
        <w:t>年月日</w:t>
      </w:r>
    </w:p>
    <w:p>
      <w:pPr>
        <w:snapToGrid w:val="0"/>
        <w:ind w:right="450" w:firstLine="420" w:firstLineChars="200"/>
        <w:rPr>
          <w:rFonts w:ascii="宋体" w:eastAsia="宋体" w:hAnsi="宋体" w:cs="Times New Roman"/>
          <w:sz w:val="24"/>
          <w:szCs w:val="24"/>
        </w:rPr>
      </w:pPr>
    </w:p>
    <w:p>
      <w:pPr>
        <w:widowControl/>
        <w:rPr>
          <w:rFonts w:ascii="宋体" w:eastAsia="宋体" w:hAnsi="宋体" w:cs="Times New Roman"/>
          <w:b/>
          <w:color w:val="FF0000"/>
          <w:kern w:val="0"/>
          <w:sz w:val="24"/>
          <w:szCs w:val="24"/>
        </w:rPr>
      </w:pPr>
      <w:r>
        <w:rPr>
          <w:rFonts w:ascii="宋体" w:eastAsia="宋体" w:hAnsi="宋体" w:cs="Times New Roman" w:hint="eastAsia"/>
          <w:b/>
          <w:color w:val="FF0000"/>
          <w:kern w:val="0"/>
          <w:szCs w:val="21"/>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pPr>
        <w:widowControl/>
        <w:jc w:val="center"/>
        <w:outlineLvl w:val="3"/>
        <w:rPr>
          <w:rFonts w:ascii="宋体" w:eastAsia="宋体" w:hAnsi="宋体" w:cs="Times New Roman"/>
          <w:b/>
          <w:bCs/>
          <w:kern w:val="0"/>
          <w:sz w:val="24"/>
          <w:szCs w:val="20"/>
        </w:rPr>
      </w:pPr>
      <w:r>
        <w:rPr>
          <w:rFonts w:ascii="宋体" w:eastAsia="宋体" w:hAnsi="宋体" w:cs="Times New Roman" w:hint="eastAsia"/>
          <w:b/>
          <w:bCs/>
          <w:kern w:val="0"/>
          <w:sz w:val="24"/>
          <w:szCs w:val="20"/>
        </w:rPr>
        <w:t>3</w:t>
      </w:r>
      <w:r>
        <w:rPr>
          <w:rFonts w:ascii="宋体" w:eastAsia="宋体" w:hAnsi="宋体" w:cs="Times New Roman"/>
          <w:b/>
          <w:bCs/>
          <w:kern w:val="0"/>
          <w:sz w:val="24"/>
          <w:szCs w:val="20"/>
        </w:rPr>
        <w:t>.</w:t>
      </w:r>
      <w:r>
        <w:rPr>
          <w:rFonts w:ascii="宋体" w:eastAsia="宋体" w:hAnsi="宋体" w:cs="Times New Roman" w:hint="eastAsia"/>
          <w:b/>
          <w:bCs/>
          <w:kern w:val="0"/>
          <w:sz w:val="24"/>
          <w:szCs w:val="20"/>
        </w:rPr>
        <w:t>分项报价清单</w:t>
      </w:r>
    </w:p>
    <w:p>
      <w:pPr>
        <w:spacing w:after="78" w:afterLines="25" w:line="300" w:lineRule="auto"/>
        <w:rPr>
          <w:rFonts w:ascii="Arial" w:eastAsia="宋体" w:hAnsi="Arial" w:cs="Arial"/>
          <w:szCs w:val="24"/>
        </w:rPr>
      </w:pPr>
      <w:r>
        <w:rPr>
          <w:rFonts w:ascii="Arial" w:eastAsia="宋体" w:hAnsi="Arial" w:cs="Arial" w:hint="eastAsia"/>
          <w:color w:val="000000"/>
          <w:szCs w:val="24"/>
        </w:rPr>
        <w:t>投标单位（投标人）名称：</w:t>
      </w:r>
    </w:p>
    <w:tbl>
      <w:tblPr>
        <w:tblStyle w:val="TableNormal"/>
        <w:tblW w:w="901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
      <w:tblGrid>
        <w:gridCol w:w="822"/>
        <w:gridCol w:w="3260"/>
        <w:gridCol w:w="1413"/>
        <w:gridCol w:w="1470"/>
        <w:gridCol w:w="2038"/>
        <w:gridCol w:w="8"/>
      </w:tblGrid>
      <w:tr>
        <w:tblPrEx>
          <w:tblW w:w="901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Ex>
        <w:trPr>
          <w:trHeight w:val="458"/>
          <w:jc w:val="center"/>
        </w:trPr>
        <w:tc>
          <w:tcPr>
            <w:tcW w:w="822" w:type="dxa"/>
            <w:vAlign w:val="center"/>
          </w:tcPr>
          <w:p>
            <w:pPr>
              <w:snapToGrid w:val="0"/>
              <w:spacing w:after="78" w:afterLines="25"/>
              <w:jc w:val="center"/>
              <w:rPr>
                <w:rFonts w:ascii="Arial" w:eastAsia="宋体" w:hAnsi="Arial" w:cs="Arial"/>
                <w:szCs w:val="24"/>
              </w:rPr>
            </w:pPr>
            <w:r>
              <w:rPr>
                <w:rFonts w:ascii="Arial" w:eastAsia="宋体" w:hAnsi="Arial" w:cs="Arial" w:hint="eastAsia"/>
                <w:szCs w:val="24"/>
              </w:rPr>
              <w:t>序号</w:t>
            </w:r>
          </w:p>
        </w:tc>
        <w:tc>
          <w:tcPr>
            <w:tcW w:w="3260" w:type="dxa"/>
            <w:vAlign w:val="center"/>
          </w:tcPr>
          <w:p>
            <w:pPr>
              <w:snapToGrid w:val="0"/>
              <w:spacing w:after="78" w:afterLines="25"/>
              <w:jc w:val="center"/>
              <w:rPr>
                <w:rFonts w:ascii="Arial" w:eastAsia="宋体" w:hAnsi="Arial" w:cs="Arial"/>
                <w:szCs w:val="24"/>
              </w:rPr>
            </w:pPr>
            <w:r>
              <w:rPr>
                <w:rFonts w:ascii="Arial" w:eastAsia="宋体" w:hAnsi="Arial" w:cs="Arial" w:hint="eastAsia"/>
                <w:szCs w:val="24"/>
              </w:rPr>
              <w:t>支出项名称</w:t>
            </w:r>
          </w:p>
        </w:tc>
        <w:tc>
          <w:tcPr>
            <w:tcW w:w="1413" w:type="dxa"/>
            <w:vAlign w:val="center"/>
          </w:tcPr>
          <w:p>
            <w:pPr>
              <w:snapToGrid w:val="0"/>
              <w:spacing w:after="78" w:afterLines="25"/>
              <w:jc w:val="center"/>
              <w:rPr>
                <w:rFonts w:ascii="Arial" w:eastAsia="宋体" w:hAnsi="Arial" w:cs="Arial"/>
                <w:szCs w:val="24"/>
              </w:rPr>
            </w:pPr>
            <w:r>
              <w:rPr>
                <w:rFonts w:ascii="Arial" w:eastAsia="宋体" w:hAnsi="Arial" w:cs="Arial" w:hint="eastAsia"/>
                <w:szCs w:val="24"/>
              </w:rPr>
              <w:t>数量</w:t>
            </w:r>
          </w:p>
        </w:tc>
        <w:tc>
          <w:tcPr>
            <w:tcW w:w="1470" w:type="dxa"/>
            <w:vAlign w:val="center"/>
          </w:tcPr>
          <w:p>
            <w:pPr>
              <w:snapToGrid w:val="0"/>
              <w:spacing w:after="78" w:afterLines="25"/>
              <w:jc w:val="center"/>
              <w:rPr>
                <w:rFonts w:ascii="Arial" w:eastAsia="宋体" w:hAnsi="Arial" w:cs="Arial"/>
                <w:szCs w:val="24"/>
              </w:rPr>
            </w:pPr>
            <w:r>
              <w:rPr>
                <w:rFonts w:ascii="Arial" w:eastAsia="宋体" w:hAnsi="Arial" w:cs="Arial" w:hint="eastAsia"/>
                <w:szCs w:val="24"/>
              </w:rPr>
              <w:t>单价（元）</w:t>
            </w:r>
          </w:p>
        </w:tc>
        <w:tc>
          <w:tcPr>
            <w:tcW w:w="2046" w:type="dxa"/>
            <w:gridSpan w:val="2"/>
            <w:vAlign w:val="center"/>
          </w:tcPr>
          <w:p>
            <w:pPr>
              <w:snapToGrid w:val="0"/>
              <w:spacing w:after="78" w:afterLines="25"/>
              <w:jc w:val="center"/>
              <w:rPr>
                <w:rFonts w:ascii="Arial" w:eastAsia="宋体" w:hAnsi="Arial" w:cs="Arial"/>
                <w:szCs w:val="24"/>
              </w:rPr>
            </w:pPr>
            <w:r>
              <w:rPr>
                <w:rFonts w:ascii="Arial" w:eastAsia="宋体" w:hAnsi="Arial" w:cs="Arial" w:hint="eastAsia"/>
                <w:szCs w:val="24"/>
              </w:rPr>
              <w:t>总价（元）</w:t>
            </w:r>
          </w:p>
        </w:tc>
      </w:tr>
      <w:tr>
        <w:tblPrEx>
          <w:tblW w:w="9011" w:type="dxa"/>
          <w:jc w:val="center"/>
          <w:tblLayout w:type="fixed"/>
          <w:tblCellMar>
            <w:top w:w="0" w:type="dxa"/>
            <w:left w:w="108" w:type="dxa"/>
            <w:bottom w:w="0" w:type="dxa"/>
            <w:right w:w="108" w:type="dxa"/>
          </w:tblCellMar>
        </w:tblPrEx>
        <w:trPr>
          <w:trHeight w:val="458"/>
          <w:jc w:val="center"/>
        </w:trPr>
        <w:tc>
          <w:tcPr>
            <w:tcW w:w="822" w:type="dxa"/>
            <w:vAlign w:val="center"/>
          </w:tcPr>
          <w:p>
            <w:pPr>
              <w:snapToGrid w:val="0"/>
              <w:spacing w:after="78" w:afterLines="25"/>
              <w:jc w:val="center"/>
              <w:rPr>
                <w:rFonts w:ascii="Arial" w:eastAsia="宋体" w:hAnsi="Arial" w:cs="Arial"/>
                <w:szCs w:val="24"/>
              </w:rPr>
            </w:pPr>
            <w:r>
              <w:rPr>
                <w:rFonts w:ascii="Arial" w:eastAsia="宋体" w:hAnsi="Arial" w:cs="Arial" w:hint="eastAsia"/>
                <w:szCs w:val="24"/>
              </w:rPr>
              <w:t>1</w:t>
            </w:r>
          </w:p>
        </w:tc>
        <w:tc>
          <w:tcPr>
            <w:tcW w:w="3260" w:type="dxa"/>
            <w:vAlign w:val="center"/>
          </w:tcPr>
          <w:p>
            <w:pPr>
              <w:snapToGrid w:val="0"/>
              <w:spacing w:after="78" w:afterLines="25"/>
              <w:jc w:val="center"/>
              <w:rPr>
                <w:rFonts w:ascii="Arial" w:eastAsia="宋体" w:hAnsi="Arial" w:cs="Times New Roman"/>
                <w:szCs w:val="24"/>
              </w:rPr>
            </w:pPr>
          </w:p>
        </w:tc>
        <w:tc>
          <w:tcPr>
            <w:tcW w:w="1413" w:type="dxa"/>
            <w:vAlign w:val="center"/>
          </w:tcPr>
          <w:p>
            <w:pPr>
              <w:snapToGrid w:val="0"/>
              <w:spacing w:after="78" w:afterLines="25"/>
              <w:jc w:val="center"/>
              <w:rPr>
                <w:rFonts w:ascii="Arial" w:eastAsia="宋体" w:hAnsi="Arial" w:cs="Arial"/>
                <w:szCs w:val="24"/>
              </w:rPr>
            </w:pPr>
          </w:p>
        </w:tc>
        <w:tc>
          <w:tcPr>
            <w:tcW w:w="1470" w:type="dxa"/>
            <w:vAlign w:val="center"/>
          </w:tcPr>
          <w:p>
            <w:pPr>
              <w:snapToGrid w:val="0"/>
              <w:spacing w:after="78" w:afterLines="25"/>
              <w:jc w:val="center"/>
              <w:rPr>
                <w:rFonts w:ascii="Arial" w:eastAsia="宋体" w:hAnsi="Arial" w:cs="Arial"/>
                <w:szCs w:val="24"/>
              </w:rPr>
            </w:pPr>
          </w:p>
        </w:tc>
        <w:tc>
          <w:tcPr>
            <w:tcW w:w="2046" w:type="dxa"/>
            <w:gridSpan w:val="2"/>
            <w:vAlign w:val="center"/>
          </w:tcPr>
          <w:p>
            <w:pPr>
              <w:snapToGrid w:val="0"/>
              <w:spacing w:after="78" w:afterLines="25"/>
              <w:jc w:val="center"/>
              <w:rPr>
                <w:rFonts w:ascii="Arial" w:eastAsia="宋体" w:hAnsi="Arial" w:cs="Arial"/>
                <w:szCs w:val="24"/>
              </w:rPr>
            </w:pPr>
          </w:p>
        </w:tc>
      </w:tr>
      <w:tr>
        <w:tblPrEx>
          <w:tblW w:w="9011" w:type="dxa"/>
          <w:jc w:val="center"/>
          <w:tblLayout w:type="fixed"/>
          <w:tblCellMar>
            <w:top w:w="0" w:type="dxa"/>
            <w:left w:w="108" w:type="dxa"/>
            <w:bottom w:w="0" w:type="dxa"/>
            <w:right w:w="108" w:type="dxa"/>
          </w:tblCellMar>
        </w:tblPrEx>
        <w:trPr>
          <w:trHeight w:val="458"/>
          <w:jc w:val="center"/>
        </w:trPr>
        <w:tc>
          <w:tcPr>
            <w:tcW w:w="822" w:type="dxa"/>
            <w:vAlign w:val="center"/>
          </w:tcPr>
          <w:p>
            <w:pPr>
              <w:snapToGrid w:val="0"/>
              <w:spacing w:after="78" w:afterLines="25"/>
              <w:jc w:val="center"/>
              <w:rPr>
                <w:rFonts w:ascii="Arial" w:eastAsia="宋体" w:hAnsi="Arial" w:cs="Arial"/>
                <w:szCs w:val="24"/>
              </w:rPr>
            </w:pPr>
            <w:r>
              <w:rPr>
                <w:rFonts w:ascii="Arial" w:eastAsia="宋体" w:hAnsi="Arial" w:cs="Arial" w:hint="eastAsia"/>
                <w:szCs w:val="24"/>
              </w:rPr>
              <w:t>2</w:t>
            </w:r>
          </w:p>
        </w:tc>
        <w:tc>
          <w:tcPr>
            <w:tcW w:w="3260" w:type="dxa"/>
            <w:vAlign w:val="center"/>
          </w:tcPr>
          <w:p>
            <w:pPr>
              <w:snapToGrid w:val="0"/>
              <w:spacing w:after="78" w:afterLines="25"/>
              <w:jc w:val="center"/>
              <w:rPr>
                <w:rFonts w:ascii="Arial" w:eastAsia="宋体" w:hAnsi="Arial" w:cs="Times New Roman"/>
                <w:szCs w:val="24"/>
              </w:rPr>
            </w:pPr>
          </w:p>
        </w:tc>
        <w:tc>
          <w:tcPr>
            <w:tcW w:w="1413" w:type="dxa"/>
            <w:vAlign w:val="center"/>
          </w:tcPr>
          <w:p>
            <w:pPr>
              <w:snapToGrid w:val="0"/>
              <w:spacing w:after="78" w:afterLines="25"/>
              <w:jc w:val="center"/>
              <w:rPr>
                <w:rFonts w:ascii="Arial" w:eastAsia="宋体" w:hAnsi="Arial" w:cs="Arial"/>
                <w:szCs w:val="24"/>
              </w:rPr>
            </w:pPr>
          </w:p>
        </w:tc>
        <w:tc>
          <w:tcPr>
            <w:tcW w:w="1470" w:type="dxa"/>
            <w:vAlign w:val="center"/>
          </w:tcPr>
          <w:p>
            <w:pPr>
              <w:snapToGrid w:val="0"/>
              <w:spacing w:after="78" w:afterLines="25"/>
              <w:jc w:val="center"/>
              <w:rPr>
                <w:rFonts w:ascii="Arial" w:eastAsia="宋体" w:hAnsi="Arial" w:cs="Arial"/>
                <w:szCs w:val="24"/>
              </w:rPr>
            </w:pPr>
          </w:p>
        </w:tc>
        <w:tc>
          <w:tcPr>
            <w:tcW w:w="2046" w:type="dxa"/>
            <w:gridSpan w:val="2"/>
            <w:vAlign w:val="center"/>
          </w:tcPr>
          <w:p>
            <w:pPr>
              <w:snapToGrid w:val="0"/>
              <w:spacing w:after="78" w:afterLines="25"/>
              <w:jc w:val="center"/>
              <w:rPr>
                <w:rFonts w:ascii="Arial" w:eastAsia="宋体" w:hAnsi="Arial" w:cs="Arial"/>
                <w:szCs w:val="24"/>
              </w:rPr>
            </w:pPr>
          </w:p>
        </w:tc>
      </w:tr>
      <w:tr>
        <w:tblPrEx>
          <w:tblW w:w="9011" w:type="dxa"/>
          <w:jc w:val="center"/>
          <w:tblLayout w:type="fixed"/>
          <w:tblCellMar>
            <w:top w:w="0" w:type="dxa"/>
            <w:left w:w="108" w:type="dxa"/>
            <w:bottom w:w="0" w:type="dxa"/>
            <w:right w:w="108" w:type="dxa"/>
          </w:tblCellMar>
        </w:tblPrEx>
        <w:trPr>
          <w:trHeight w:val="458"/>
          <w:jc w:val="center"/>
        </w:trPr>
        <w:tc>
          <w:tcPr>
            <w:tcW w:w="822" w:type="dxa"/>
            <w:vAlign w:val="center"/>
          </w:tcPr>
          <w:p>
            <w:pPr>
              <w:snapToGrid w:val="0"/>
              <w:spacing w:after="78" w:afterLines="25"/>
              <w:jc w:val="center"/>
              <w:rPr>
                <w:rFonts w:ascii="Arial" w:eastAsia="宋体" w:hAnsi="Arial" w:cs="Arial"/>
                <w:szCs w:val="24"/>
              </w:rPr>
            </w:pPr>
            <w:r>
              <w:rPr>
                <w:rFonts w:ascii="Arial" w:eastAsia="宋体" w:hAnsi="Arial" w:cs="Arial" w:hint="eastAsia"/>
                <w:szCs w:val="24"/>
              </w:rPr>
              <w:t>3</w:t>
            </w:r>
          </w:p>
        </w:tc>
        <w:tc>
          <w:tcPr>
            <w:tcW w:w="3260" w:type="dxa"/>
            <w:vAlign w:val="center"/>
          </w:tcPr>
          <w:p>
            <w:pPr>
              <w:snapToGrid w:val="0"/>
              <w:spacing w:after="78" w:afterLines="25"/>
              <w:jc w:val="center"/>
              <w:rPr>
                <w:rFonts w:ascii="Arial" w:eastAsia="宋体" w:hAnsi="Arial" w:cs="Times New Roman"/>
                <w:szCs w:val="24"/>
              </w:rPr>
            </w:pPr>
          </w:p>
        </w:tc>
        <w:tc>
          <w:tcPr>
            <w:tcW w:w="1413" w:type="dxa"/>
            <w:vAlign w:val="center"/>
          </w:tcPr>
          <w:p>
            <w:pPr>
              <w:snapToGrid w:val="0"/>
              <w:spacing w:after="78" w:afterLines="25"/>
              <w:jc w:val="center"/>
              <w:rPr>
                <w:rFonts w:ascii="Arial" w:eastAsia="宋体" w:hAnsi="Arial" w:cs="Arial"/>
                <w:szCs w:val="24"/>
              </w:rPr>
            </w:pPr>
          </w:p>
        </w:tc>
        <w:tc>
          <w:tcPr>
            <w:tcW w:w="1470" w:type="dxa"/>
            <w:vAlign w:val="center"/>
          </w:tcPr>
          <w:p>
            <w:pPr>
              <w:snapToGrid w:val="0"/>
              <w:spacing w:after="78" w:afterLines="25"/>
              <w:jc w:val="center"/>
              <w:rPr>
                <w:rFonts w:ascii="Arial" w:eastAsia="宋体" w:hAnsi="Arial" w:cs="Arial"/>
                <w:szCs w:val="24"/>
              </w:rPr>
            </w:pPr>
          </w:p>
        </w:tc>
        <w:tc>
          <w:tcPr>
            <w:tcW w:w="2046" w:type="dxa"/>
            <w:gridSpan w:val="2"/>
            <w:vAlign w:val="center"/>
          </w:tcPr>
          <w:p>
            <w:pPr>
              <w:snapToGrid w:val="0"/>
              <w:spacing w:after="78" w:afterLines="25"/>
              <w:jc w:val="center"/>
              <w:rPr>
                <w:rFonts w:ascii="Arial" w:eastAsia="宋体" w:hAnsi="Arial" w:cs="Arial"/>
                <w:szCs w:val="24"/>
              </w:rPr>
            </w:pPr>
          </w:p>
        </w:tc>
      </w:tr>
      <w:tr>
        <w:tblPrEx>
          <w:tblW w:w="9011" w:type="dxa"/>
          <w:jc w:val="center"/>
          <w:tblLayout w:type="fixed"/>
          <w:tblCellMar>
            <w:top w:w="0" w:type="dxa"/>
            <w:left w:w="108" w:type="dxa"/>
            <w:bottom w:w="0" w:type="dxa"/>
            <w:right w:w="108" w:type="dxa"/>
          </w:tblCellMar>
        </w:tblPrEx>
        <w:trPr>
          <w:trHeight w:val="458"/>
          <w:jc w:val="center"/>
        </w:trPr>
        <w:tc>
          <w:tcPr>
            <w:tcW w:w="822" w:type="dxa"/>
            <w:vAlign w:val="center"/>
          </w:tcPr>
          <w:p>
            <w:pPr>
              <w:snapToGrid w:val="0"/>
              <w:spacing w:after="78" w:afterLines="25"/>
              <w:jc w:val="center"/>
              <w:rPr>
                <w:rFonts w:ascii="Arial" w:eastAsia="宋体" w:hAnsi="Arial" w:cs="Arial"/>
                <w:szCs w:val="24"/>
              </w:rPr>
            </w:pPr>
            <w:r>
              <w:rPr>
                <w:rFonts w:ascii="Arial" w:eastAsia="宋体" w:hAnsi="Arial" w:cs="Arial" w:hint="eastAsia"/>
                <w:szCs w:val="24"/>
              </w:rPr>
              <w:t>……</w:t>
            </w:r>
          </w:p>
        </w:tc>
        <w:tc>
          <w:tcPr>
            <w:tcW w:w="3260" w:type="dxa"/>
            <w:vAlign w:val="center"/>
          </w:tcPr>
          <w:p>
            <w:pPr>
              <w:snapToGrid w:val="0"/>
              <w:spacing w:after="78" w:afterLines="25"/>
              <w:jc w:val="center"/>
              <w:rPr>
                <w:rFonts w:ascii="Arial" w:eastAsia="宋体" w:hAnsi="Arial" w:cs="Arial"/>
                <w:szCs w:val="24"/>
              </w:rPr>
            </w:pPr>
          </w:p>
        </w:tc>
        <w:tc>
          <w:tcPr>
            <w:tcW w:w="1413" w:type="dxa"/>
            <w:vAlign w:val="center"/>
          </w:tcPr>
          <w:p>
            <w:pPr>
              <w:snapToGrid w:val="0"/>
              <w:spacing w:after="78" w:afterLines="25"/>
              <w:jc w:val="center"/>
              <w:rPr>
                <w:rFonts w:ascii="Arial" w:eastAsia="宋体" w:hAnsi="Arial" w:cs="Arial"/>
                <w:szCs w:val="24"/>
              </w:rPr>
            </w:pPr>
          </w:p>
        </w:tc>
        <w:tc>
          <w:tcPr>
            <w:tcW w:w="1470" w:type="dxa"/>
            <w:vAlign w:val="center"/>
          </w:tcPr>
          <w:p>
            <w:pPr>
              <w:snapToGrid w:val="0"/>
              <w:spacing w:after="78" w:afterLines="25"/>
              <w:jc w:val="center"/>
              <w:rPr>
                <w:rFonts w:ascii="Arial" w:eastAsia="宋体" w:hAnsi="Arial" w:cs="Arial"/>
                <w:szCs w:val="24"/>
              </w:rPr>
            </w:pPr>
          </w:p>
        </w:tc>
        <w:tc>
          <w:tcPr>
            <w:tcW w:w="2046" w:type="dxa"/>
            <w:gridSpan w:val="2"/>
            <w:vAlign w:val="center"/>
          </w:tcPr>
          <w:p>
            <w:pPr>
              <w:snapToGrid w:val="0"/>
              <w:spacing w:after="78" w:afterLines="25"/>
              <w:jc w:val="center"/>
              <w:rPr>
                <w:rFonts w:ascii="Arial" w:eastAsia="宋体" w:hAnsi="Arial" w:cs="Arial"/>
                <w:szCs w:val="24"/>
              </w:rPr>
            </w:pPr>
          </w:p>
        </w:tc>
      </w:tr>
      <w:tr>
        <w:tblPrEx>
          <w:tblW w:w="9011" w:type="dxa"/>
          <w:jc w:val="center"/>
          <w:tblLayout w:type="fixed"/>
          <w:tblCellMar>
            <w:top w:w="0" w:type="dxa"/>
            <w:left w:w="108" w:type="dxa"/>
            <w:bottom w:w="0" w:type="dxa"/>
            <w:right w:w="108" w:type="dxa"/>
          </w:tblCellMar>
        </w:tblPrEx>
        <w:trPr>
          <w:gridAfter w:val="1"/>
          <w:wAfter w:w="8" w:type="dxa"/>
          <w:cantSplit/>
          <w:trHeight w:val="646"/>
          <w:jc w:val="center"/>
        </w:trPr>
        <w:tc>
          <w:tcPr>
            <w:tcW w:w="6965" w:type="dxa"/>
            <w:gridSpan w:val="4"/>
            <w:vAlign w:val="center"/>
          </w:tcPr>
          <w:p>
            <w:pPr>
              <w:snapToGrid w:val="0"/>
              <w:spacing w:after="78" w:afterLines="25"/>
              <w:jc w:val="center"/>
              <w:rPr>
                <w:rFonts w:ascii="Arial" w:eastAsia="宋体" w:hAnsi="Arial" w:cs="Arial"/>
                <w:b/>
                <w:szCs w:val="24"/>
              </w:rPr>
            </w:pPr>
            <w:r>
              <w:rPr>
                <w:rFonts w:ascii="Arial" w:eastAsia="宋体" w:hAnsi="Arial" w:cs="Arial" w:hint="eastAsia"/>
                <w:b/>
                <w:szCs w:val="24"/>
              </w:rPr>
              <w:t>投标总价</w:t>
            </w:r>
            <w:r>
              <w:rPr>
                <w:rFonts w:ascii="Arial" w:eastAsia="宋体" w:hAnsi="Arial" w:cs="Times New Roman" w:hint="eastAsia"/>
                <w:szCs w:val="24"/>
              </w:rPr>
              <w:t>（币种：人民币；单位：元）</w:t>
            </w:r>
          </w:p>
        </w:tc>
        <w:tc>
          <w:tcPr>
            <w:tcW w:w="2038" w:type="dxa"/>
            <w:vAlign w:val="center"/>
          </w:tcPr>
          <w:p>
            <w:pPr>
              <w:snapToGrid w:val="0"/>
              <w:spacing w:after="78" w:afterLines="25"/>
              <w:jc w:val="center"/>
              <w:rPr>
                <w:rFonts w:ascii="Arial" w:eastAsia="宋体" w:hAnsi="Arial" w:cs="Arial"/>
                <w:szCs w:val="24"/>
              </w:rPr>
            </w:pPr>
          </w:p>
        </w:tc>
      </w:tr>
    </w:tbl>
    <w:p>
      <w:pPr>
        <w:spacing w:after="78" w:afterLines="25" w:line="300" w:lineRule="auto"/>
        <w:rPr>
          <w:rFonts w:ascii="Arial" w:eastAsia="宋体" w:hAnsi="Arial" w:cs="Times New Roman"/>
          <w:b/>
          <w:szCs w:val="24"/>
        </w:rPr>
      </w:pPr>
      <w:r>
        <w:rPr>
          <w:rFonts w:ascii="Arial" w:eastAsia="宋体" w:hAnsi="Arial" w:cs="Times New Roman" w:hint="eastAsia"/>
          <w:b/>
          <w:szCs w:val="24"/>
        </w:rPr>
        <w:t>填写说明：</w:t>
      </w:r>
    </w:p>
    <w:p>
      <w:pPr>
        <w:spacing w:after="78" w:afterLines="25" w:line="300" w:lineRule="auto"/>
        <w:rPr>
          <w:rFonts w:ascii="Arial" w:eastAsia="宋体" w:hAnsi="Arial" w:cs="Times New Roman"/>
          <w:b/>
          <w:szCs w:val="24"/>
        </w:rPr>
      </w:pPr>
      <w:r>
        <w:rPr>
          <w:rFonts w:ascii="Arial" w:eastAsia="宋体" w:hAnsi="Arial" w:cs="Times New Roman" w:hint="eastAsia"/>
          <w:b/>
          <w:szCs w:val="24"/>
        </w:rPr>
        <w:t>1、此表可延长，各投标人根据本项目实际涉及的所有支出项情况修改后填写。本表如有缺漏项，由投标人自行承担。</w:t>
      </w:r>
    </w:p>
    <w:p>
      <w:pPr>
        <w:spacing w:line="360" w:lineRule="exact"/>
        <w:rPr>
          <w:rFonts w:ascii="宋体" w:eastAsia="宋体" w:hAnsi="宋体" w:cs="Times New Roman"/>
          <w:b/>
          <w:szCs w:val="21"/>
        </w:rPr>
      </w:pPr>
      <w:r>
        <w:rPr>
          <w:rFonts w:ascii="宋体" w:eastAsia="宋体" w:hAnsi="宋体" w:cs="Times New Roman" w:hint="eastAsia"/>
          <w:b/>
          <w:szCs w:val="21"/>
        </w:rPr>
        <w:t>2、中标人签订合同前将详细的《分项报价清单》递交采购单位，经采购单位审核同意后方可实施。</w:t>
      </w:r>
    </w:p>
    <w:p>
      <w:pPr>
        <w:spacing w:after="78" w:afterLines="25" w:line="300" w:lineRule="auto"/>
        <w:rPr>
          <w:rFonts w:ascii="Arial" w:eastAsia="宋体" w:hAnsi="Arial" w:cs="Times New Roman"/>
          <w:b/>
          <w:szCs w:val="24"/>
        </w:rPr>
      </w:pPr>
    </w:p>
    <w:p>
      <w:pPr>
        <w:widowControl/>
        <w:jc w:val="left"/>
        <w:rPr>
          <w:rFonts w:asciiTheme="minorEastAsia" w:hAnsiTheme="minorEastAsia" w:cs="Times New Roman"/>
          <w:sz w:val="24"/>
          <w:szCs w:val="24"/>
        </w:rPr>
      </w:pPr>
      <w:r>
        <w:br w:type="page"/>
      </w:r>
    </w:p>
    <w:p>
      <w:pPr>
        <w:keepNext/>
        <w:keepLines/>
        <w:pageBreakBefore/>
        <w:adjustRightInd w:val="0"/>
        <w:snapToGrid w:val="0"/>
        <w:spacing w:line="360" w:lineRule="auto"/>
        <w:jc w:val="center"/>
        <w:textAlignment w:val="baseline"/>
        <w:outlineLvl w:val="3"/>
        <w:rPr>
          <w:rFonts w:ascii="宋体" w:eastAsia="宋体" w:hAnsi="宋体" w:cs="Times New Roman"/>
          <w:b/>
          <w:bCs/>
          <w:kern w:val="0"/>
          <w:sz w:val="24"/>
          <w:szCs w:val="20"/>
        </w:rPr>
      </w:pPr>
      <w:r>
        <w:rPr>
          <w:rFonts w:ascii="宋体" w:eastAsia="宋体" w:hAnsi="宋体" w:cs="Times New Roman" w:hint="eastAsia"/>
          <w:b/>
          <w:bCs/>
          <w:kern w:val="0"/>
          <w:sz w:val="24"/>
          <w:szCs w:val="20"/>
        </w:rPr>
        <w:t>4.经验情况表</w:t>
      </w:r>
    </w:p>
    <w:tbl>
      <w:tblPr>
        <w:tblStyle w:val="TableNormal"/>
        <w:tblW w:w="4906"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tblGrid>
        <w:gridCol w:w="804"/>
        <w:gridCol w:w="1854"/>
        <w:gridCol w:w="2287"/>
        <w:gridCol w:w="1336"/>
        <w:gridCol w:w="1392"/>
        <w:gridCol w:w="1440"/>
      </w:tblGrid>
      <w:tr>
        <w:tblPrEx>
          <w:tblW w:w="4906"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Ex>
        <w:trPr>
          <w:jc w:val="center"/>
        </w:trPr>
        <w:tc>
          <w:tcPr>
            <w:tcW w:w="441" w:type="pct"/>
            <w:vAlign w:val="center"/>
          </w:tcPr>
          <w:p>
            <w:pPr>
              <w:snapToGrid w:val="0"/>
              <w:jc w:val="center"/>
              <w:rPr>
                <w:rFonts w:ascii="宋体" w:eastAsia="宋体" w:hAnsi="宋体" w:cs="Times New Roman"/>
                <w:b/>
                <w:sz w:val="24"/>
                <w:szCs w:val="24"/>
              </w:rPr>
            </w:pPr>
            <w:r>
              <w:rPr>
                <w:rFonts w:ascii="宋体" w:eastAsia="宋体" w:hAnsi="宋体" w:cs="Times New Roman" w:hint="eastAsia"/>
                <w:b/>
                <w:sz w:val="24"/>
                <w:szCs w:val="24"/>
              </w:rPr>
              <w:t>序号</w:t>
            </w:r>
          </w:p>
        </w:tc>
        <w:tc>
          <w:tcPr>
            <w:tcW w:w="1017" w:type="pct"/>
            <w:vAlign w:val="center"/>
          </w:tcPr>
          <w:p>
            <w:pPr>
              <w:snapToGrid w:val="0"/>
              <w:jc w:val="center"/>
              <w:rPr>
                <w:rFonts w:ascii="宋体" w:eastAsia="宋体" w:hAnsi="宋体" w:cs="Times New Roman"/>
                <w:b/>
                <w:sz w:val="24"/>
                <w:szCs w:val="24"/>
              </w:rPr>
            </w:pPr>
            <w:r>
              <w:rPr>
                <w:rFonts w:ascii="宋体" w:eastAsia="宋体" w:hAnsi="宋体" w:cs="Times New Roman" w:hint="eastAsia"/>
                <w:b/>
                <w:sz w:val="24"/>
                <w:szCs w:val="24"/>
              </w:rPr>
              <w:t>用户单位</w:t>
            </w:r>
          </w:p>
        </w:tc>
        <w:tc>
          <w:tcPr>
            <w:tcW w:w="1255" w:type="pct"/>
            <w:vAlign w:val="center"/>
          </w:tcPr>
          <w:p>
            <w:pPr>
              <w:snapToGrid w:val="0"/>
              <w:jc w:val="center"/>
              <w:rPr>
                <w:rFonts w:ascii="宋体" w:eastAsia="宋体" w:hAnsi="宋体" w:cs="Times New Roman"/>
                <w:b/>
                <w:sz w:val="24"/>
                <w:szCs w:val="24"/>
              </w:rPr>
            </w:pPr>
            <w:r>
              <w:rPr>
                <w:rFonts w:ascii="Arial" w:eastAsia="宋体" w:hAnsi="Arial" w:cs="Arial" w:hint="eastAsia"/>
                <w:b/>
                <w:sz w:val="24"/>
                <w:szCs w:val="24"/>
              </w:rPr>
              <w:t>项目</w:t>
            </w:r>
            <w:r>
              <w:rPr>
                <w:rFonts w:ascii="宋体" w:eastAsia="宋体" w:hAnsi="宋体" w:cs="Times New Roman" w:hint="eastAsia"/>
                <w:b/>
                <w:sz w:val="24"/>
                <w:szCs w:val="24"/>
              </w:rPr>
              <w:t>名称</w:t>
            </w:r>
          </w:p>
        </w:tc>
        <w:tc>
          <w:tcPr>
            <w:tcW w:w="733" w:type="pct"/>
            <w:vAlign w:val="center"/>
          </w:tcPr>
          <w:p>
            <w:pPr>
              <w:snapToGrid w:val="0"/>
              <w:jc w:val="center"/>
              <w:rPr>
                <w:rFonts w:ascii="宋体" w:eastAsia="宋体" w:hAnsi="宋体" w:cs="Times New Roman"/>
                <w:b/>
                <w:sz w:val="24"/>
                <w:szCs w:val="24"/>
              </w:rPr>
            </w:pPr>
            <w:r>
              <w:rPr>
                <w:rFonts w:ascii="宋体" w:eastAsia="宋体" w:hAnsi="宋体" w:cs="Times New Roman" w:hint="eastAsia"/>
                <w:b/>
                <w:sz w:val="24"/>
                <w:szCs w:val="24"/>
              </w:rPr>
              <w:t>时间</w:t>
            </w:r>
          </w:p>
        </w:tc>
        <w:tc>
          <w:tcPr>
            <w:tcW w:w="764" w:type="pct"/>
            <w:vAlign w:val="center"/>
          </w:tcPr>
          <w:p>
            <w:pPr>
              <w:snapToGrid w:val="0"/>
              <w:jc w:val="center"/>
              <w:rPr>
                <w:rFonts w:ascii="宋体" w:eastAsia="宋体" w:hAnsi="宋体" w:cs="Times New Roman"/>
                <w:b/>
                <w:sz w:val="24"/>
                <w:szCs w:val="24"/>
              </w:rPr>
            </w:pPr>
            <w:r>
              <w:rPr>
                <w:rFonts w:ascii="宋体" w:eastAsia="宋体" w:hAnsi="宋体" w:cs="Times New Roman" w:hint="eastAsia"/>
                <w:b/>
                <w:sz w:val="24"/>
                <w:szCs w:val="24"/>
              </w:rPr>
              <w:t>用户单位</w:t>
            </w:r>
          </w:p>
          <w:p>
            <w:pPr>
              <w:snapToGrid w:val="0"/>
              <w:jc w:val="center"/>
              <w:rPr>
                <w:rFonts w:ascii="宋体" w:eastAsia="宋体" w:hAnsi="宋体" w:cs="Times New Roman"/>
                <w:b/>
                <w:sz w:val="24"/>
                <w:szCs w:val="24"/>
              </w:rPr>
            </w:pPr>
            <w:r>
              <w:rPr>
                <w:rFonts w:ascii="宋体" w:eastAsia="宋体" w:hAnsi="宋体" w:cs="Times New Roman" w:hint="eastAsia"/>
                <w:b/>
                <w:sz w:val="24"/>
                <w:szCs w:val="24"/>
              </w:rPr>
              <w:t>联系人</w:t>
            </w:r>
          </w:p>
        </w:tc>
        <w:tc>
          <w:tcPr>
            <w:tcW w:w="790" w:type="pct"/>
            <w:vAlign w:val="center"/>
          </w:tcPr>
          <w:p>
            <w:pPr>
              <w:snapToGrid w:val="0"/>
              <w:jc w:val="center"/>
              <w:rPr>
                <w:rFonts w:ascii="宋体" w:eastAsia="宋体" w:hAnsi="宋体" w:cs="Times New Roman"/>
                <w:b/>
                <w:sz w:val="24"/>
                <w:szCs w:val="24"/>
              </w:rPr>
            </w:pPr>
            <w:r>
              <w:rPr>
                <w:rFonts w:ascii="宋体" w:eastAsia="宋体" w:hAnsi="宋体" w:cs="Times New Roman" w:hint="eastAsia"/>
                <w:b/>
                <w:sz w:val="24"/>
                <w:szCs w:val="24"/>
              </w:rPr>
              <w:t>用户单位</w:t>
            </w:r>
            <w:r>
              <w:rPr>
                <w:rFonts w:ascii="宋体" w:eastAsia="宋体" w:hAnsi="宋体" w:cs="Times New Roman"/>
                <w:b/>
                <w:sz w:val="24"/>
                <w:szCs w:val="24"/>
              </w:rPr>
              <w:br/>
            </w:r>
            <w:r>
              <w:rPr>
                <w:rFonts w:ascii="宋体" w:eastAsia="宋体" w:hAnsi="宋体" w:cs="Times New Roman" w:hint="eastAsia"/>
                <w:b/>
                <w:sz w:val="24"/>
                <w:szCs w:val="24"/>
              </w:rPr>
              <w:t>联系电话</w:t>
            </w:r>
          </w:p>
        </w:tc>
      </w:tr>
      <w:tr>
        <w:tblPrEx>
          <w:tblW w:w="4906" w:type="pct"/>
          <w:jc w:val="center"/>
          <w:tblCellMar>
            <w:top w:w="0" w:type="dxa"/>
            <w:left w:w="108" w:type="dxa"/>
            <w:bottom w:w="0" w:type="dxa"/>
            <w:right w:w="108" w:type="dxa"/>
          </w:tblCellMar>
        </w:tblPrEx>
        <w:trPr>
          <w:cantSplit/>
          <w:trHeight w:val="300"/>
          <w:jc w:val="center"/>
        </w:trPr>
        <w:tc>
          <w:tcPr>
            <w:tcW w:w="441" w:type="pct"/>
          </w:tcPr>
          <w:p>
            <w:pPr>
              <w:spacing w:after="78" w:afterLines="25" w:line="300" w:lineRule="auto"/>
              <w:rPr>
                <w:rFonts w:ascii="宋体" w:eastAsia="宋体" w:hAnsi="宋体" w:cs="Arial"/>
                <w:sz w:val="24"/>
                <w:szCs w:val="24"/>
              </w:rPr>
            </w:pPr>
          </w:p>
        </w:tc>
        <w:tc>
          <w:tcPr>
            <w:tcW w:w="1017" w:type="pct"/>
          </w:tcPr>
          <w:p>
            <w:pPr>
              <w:spacing w:after="78" w:afterLines="25" w:line="300" w:lineRule="auto"/>
              <w:rPr>
                <w:rFonts w:ascii="宋体" w:eastAsia="宋体" w:hAnsi="宋体" w:cs="Arial"/>
                <w:sz w:val="24"/>
                <w:szCs w:val="24"/>
              </w:rPr>
            </w:pPr>
          </w:p>
        </w:tc>
        <w:tc>
          <w:tcPr>
            <w:tcW w:w="1255" w:type="pct"/>
          </w:tcPr>
          <w:p>
            <w:pPr>
              <w:spacing w:after="78" w:afterLines="25" w:line="300" w:lineRule="auto"/>
              <w:rPr>
                <w:rFonts w:ascii="宋体" w:eastAsia="宋体" w:hAnsi="宋体" w:cs="Arial"/>
                <w:sz w:val="24"/>
                <w:szCs w:val="24"/>
              </w:rPr>
            </w:pPr>
          </w:p>
        </w:tc>
        <w:tc>
          <w:tcPr>
            <w:tcW w:w="733" w:type="pct"/>
          </w:tcPr>
          <w:p>
            <w:pPr>
              <w:spacing w:after="78" w:afterLines="25" w:line="300" w:lineRule="auto"/>
              <w:rPr>
                <w:rFonts w:ascii="宋体" w:eastAsia="宋体" w:hAnsi="宋体" w:cs="Arial"/>
                <w:sz w:val="24"/>
                <w:szCs w:val="24"/>
              </w:rPr>
            </w:pPr>
          </w:p>
        </w:tc>
        <w:tc>
          <w:tcPr>
            <w:tcW w:w="764" w:type="pct"/>
          </w:tcPr>
          <w:p>
            <w:pPr>
              <w:spacing w:after="78" w:afterLines="25" w:line="300" w:lineRule="auto"/>
              <w:rPr>
                <w:rFonts w:ascii="宋体" w:eastAsia="宋体" w:hAnsi="宋体" w:cs="Arial"/>
                <w:sz w:val="24"/>
                <w:szCs w:val="24"/>
              </w:rPr>
            </w:pPr>
          </w:p>
        </w:tc>
        <w:tc>
          <w:tcPr>
            <w:tcW w:w="790" w:type="pct"/>
          </w:tcPr>
          <w:p>
            <w:pPr>
              <w:spacing w:after="78" w:afterLines="25" w:line="300" w:lineRule="auto"/>
              <w:rPr>
                <w:rFonts w:ascii="宋体" w:eastAsia="宋体" w:hAnsi="宋体" w:cs="Arial"/>
                <w:sz w:val="24"/>
                <w:szCs w:val="24"/>
              </w:rPr>
            </w:pPr>
          </w:p>
        </w:tc>
      </w:tr>
      <w:tr>
        <w:tblPrEx>
          <w:tblW w:w="4906" w:type="pct"/>
          <w:jc w:val="center"/>
          <w:tblCellMar>
            <w:top w:w="0" w:type="dxa"/>
            <w:left w:w="108" w:type="dxa"/>
            <w:bottom w:w="0" w:type="dxa"/>
            <w:right w:w="108" w:type="dxa"/>
          </w:tblCellMar>
        </w:tblPrEx>
        <w:trPr>
          <w:cantSplit/>
          <w:trHeight w:val="300"/>
          <w:jc w:val="center"/>
        </w:trPr>
        <w:tc>
          <w:tcPr>
            <w:tcW w:w="441" w:type="pct"/>
          </w:tcPr>
          <w:p>
            <w:pPr>
              <w:spacing w:after="78" w:afterLines="25" w:line="300" w:lineRule="auto"/>
              <w:rPr>
                <w:rFonts w:ascii="宋体" w:eastAsia="宋体" w:hAnsi="宋体" w:cs="Arial"/>
                <w:sz w:val="24"/>
                <w:szCs w:val="24"/>
              </w:rPr>
            </w:pPr>
          </w:p>
        </w:tc>
        <w:tc>
          <w:tcPr>
            <w:tcW w:w="1017" w:type="pct"/>
          </w:tcPr>
          <w:p>
            <w:pPr>
              <w:spacing w:after="78" w:afterLines="25" w:line="300" w:lineRule="auto"/>
              <w:rPr>
                <w:rFonts w:ascii="宋体" w:eastAsia="宋体" w:hAnsi="宋体" w:cs="Arial"/>
                <w:sz w:val="24"/>
                <w:szCs w:val="24"/>
              </w:rPr>
            </w:pPr>
          </w:p>
        </w:tc>
        <w:tc>
          <w:tcPr>
            <w:tcW w:w="1255" w:type="pct"/>
          </w:tcPr>
          <w:p>
            <w:pPr>
              <w:spacing w:after="78" w:afterLines="25" w:line="300" w:lineRule="auto"/>
              <w:rPr>
                <w:rFonts w:ascii="宋体" w:eastAsia="宋体" w:hAnsi="宋体" w:cs="Arial"/>
                <w:sz w:val="24"/>
                <w:szCs w:val="24"/>
              </w:rPr>
            </w:pPr>
          </w:p>
        </w:tc>
        <w:tc>
          <w:tcPr>
            <w:tcW w:w="733" w:type="pct"/>
          </w:tcPr>
          <w:p>
            <w:pPr>
              <w:spacing w:after="78" w:afterLines="25" w:line="300" w:lineRule="auto"/>
              <w:rPr>
                <w:rFonts w:ascii="宋体" w:eastAsia="宋体" w:hAnsi="宋体" w:cs="Arial"/>
                <w:sz w:val="24"/>
                <w:szCs w:val="24"/>
              </w:rPr>
            </w:pPr>
          </w:p>
        </w:tc>
        <w:tc>
          <w:tcPr>
            <w:tcW w:w="764" w:type="pct"/>
          </w:tcPr>
          <w:p>
            <w:pPr>
              <w:spacing w:after="78" w:afterLines="25" w:line="300" w:lineRule="auto"/>
              <w:rPr>
                <w:rFonts w:ascii="宋体" w:eastAsia="宋体" w:hAnsi="宋体" w:cs="Arial"/>
                <w:sz w:val="24"/>
                <w:szCs w:val="24"/>
              </w:rPr>
            </w:pPr>
          </w:p>
        </w:tc>
        <w:tc>
          <w:tcPr>
            <w:tcW w:w="790" w:type="pct"/>
          </w:tcPr>
          <w:p>
            <w:pPr>
              <w:spacing w:after="78" w:afterLines="25" w:line="300" w:lineRule="auto"/>
              <w:rPr>
                <w:rFonts w:ascii="宋体" w:eastAsia="宋体" w:hAnsi="宋体" w:cs="Arial"/>
                <w:sz w:val="24"/>
                <w:szCs w:val="24"/>
              </w:rPr>
            </w:pPr>
          </w:p>
        </w:tc>
      </w:tr>
      <w:tr>
        <w:tblPrEx>
          <w:tblW w:w="4906" w:type="pct"/>
          <w:jc w:val="center"/>
          <w:tblCellMar>
            <w:top w:w="0" w:type="dxa"/>
            <w:left w:w="108" w:type="dxa"/>
            <w:bottom w:w="0" w:type="dxa"/>
            <w:right w:w="108" w:type="dxa"/>
          </w:tblCellMar>
        </w:tblPrEx>
        <w:trPr>
          <w:cantSplit/>
          <w:trHeight w:val="300"/>
          <w:jc w:val="center"/>
        </w:trPr>
        <w:tc>
          <w:tcPr>
            <w:tcW w:w="441" w:type="pct"/>
          </w:tcPr>
          <w:p>
            <w:pPr>
              <w:spacing w:after="78" w:afterLines="25" w:line="300" w:lineRule="auto"/>
              <w:rPr>
                <w:rFonts w:ascii="宋体" w:eastAsia="宋体" w:hAnsi="宋体" w:cs="Arial"/>
                <w:sz w:val="24"/>
                <w:szCs w:val="24"/>
              </w:rPr>
            </w:pPr>
          </w:p>
        </w:tc>
        <w:tc>
          <w:tcPr>
            <w:tcW w:w="1017" w:type="pct"/>
          </w:tcPr>
          <w:p>
            <w:pPr>
              <w:spacing w:after="78" w:afterLines="25" w:line="300" w:lineRule="auto"/>
              <w:rPr>
                <w:rFonts w:ascii="宋体" w:eastAsia="宋体" w:hAnsi="宋体" w:cs="Arial"/>
                <w:sz w:val="24"/>
                <w:szCs w:val="24"/>
              </w:rPr>
            </w:pPr>
          </w:p>
        </w:tc>
        <w:tc>
          <w:tcPr>
            <w:tcW w:w="1255" w:type="pct"/>
          </w:tcPr>
          <w:p>
            <w:pPr>
              <w:spacing w:after="78" w:afterLines="25" w:line="300" w:lineRule="auto"/>
              <w:rPr>
                <w:rFonts w:ascii="宋体" w:eastAsia="宋体" w:hAnsi="宋体" w:cs="Arial"/>
                <w:sz w:val="24"/>
                <w:szCs w:val="24"/>
              </w:rPr>
            </w:pPr>
          </w:p>
        </w:tc>
        <w:tc>
          <w:tcPr>
            <w:tcW w:w="733" w:type="pct"/>
          </w:tcPr>
          <w:p>
            <w:pPr>
              <w:spacing w:after="78" w:afterLines="25" w:line="300" w:lineRule="auto"/>
              <w:rPr>
                <w:rFonts w:ascii="宋体" w:eastAsia="宋体" w:hAnsi="宋体" w:cs="Arial"/>
                <w:sz w:val="24"/>
                <w:szCs w:val="24"/>
              </w:rPr>
            </w:pPr>
          </w:p>
        </w:tc>
        <w:tc>
          <w:tcPr>
            <w:tcW w:w="764" w:type="pct"/>
          </w:tcPr>
          <w:p>
            <w:pPr>
              <w:spacing w:after="78" w:afterLines="25" w:line="300" w:lineRule="auto"/>
              <w:rPr>
                <w:rFonts w:ascii="宋体" w:eastAsia="宋体" w:hAnsi="宋体" w:cs="Arial"/>
                <w:sz w:val="24"/>
                <w:szCs w:val="24"/>
              </w:rPr>
            </w:pPr>
          </w:p>
        </w:tc>
        <w:tc>
          <w:tcPr>
            <w:tcW w:w="790" w:type="pct"/>
          </w:tcPr>
          <w:p>
            <w:pPr>
              <w:spacing w:after="78" w:afterLines="25" w:line="300" w:lineRule="auto"/>
              <w:rPr>
                <w:rFonts w:ascii="宋体" w:eastAsia="宋体" w:hAnsi="宋体" w:cs="Arial"/>
                <w:sz w:val="24"/>
                <w:szCs w:val="24"/>
              </w:rPr>
            </w:pPr>
          </w:p>
        </w:tc>
      </w:tr>
    </w:tbl>
    <w:p>
      <w:pPr>
        <w:spacing w:line="300" w:lineRule="auto"/>
        <w:rPr>
          <w:rFonts w:ascii="Arial" w:eastAsia="宋体" w:hAnsi="Arial" w:cs="Times New Roman"/>
          <w:szCs w:val="24"/>
        </w:rPr>
      </w:pPr>
      <w:r>
        <w:rPr>
          <w:rFonts w:ascii="Arial" w:eastAsia="宋体" w:hAnsi="Arial" w:cs="Times New Roman" w:hint="eastAsia"/>
          <w:sz w:val="24"/>
          <w:szCs w:val="24"/>
        </w:rPr>
        <w:t>此表格式可根据评分准则要求进行调整，并将要求提供的证明材料扫描件附后。</w:t>
      </w:r>
    </w:p>
    <w:p>
      <w:pPr>
        <w:spacing w:after="78" w:afterLines="25" w:line="300" w:lineRule="auto"/>
        <w:rPr>
          <w:rFonts w:ascii="Arial" w:eastAsia="宋体" w:hAnsi="Arial" w:cs="Times New Roman"/>
          <w:sz w:val="24"/>
          <w:szCs w:val="24"/>
        </w:rPr>
      </w:pPr>
    </w:p>
    <w:p>
      <w:pPr>
        <w:spacing w:after="78" w:afterLines="25" w:line="300" w:lineRule="auto"/>
        <w:rPr>
          <w:rFonts w:ascii="Arial" w:eastAsia="宋体" w:hAnsi="Arial" w:cs="Times New Roman"/>
          <w:sz w:val="24"/>
          <w:szCs w:val="24"/>
        </w:rPr>
      </w:pPr>
    </w:p>
    <w:p>
      <w:pPr>
        <w:spacing w:after="78" w:afterLines="25" w:line="300" w:lineRule="auto"/>
        <w:rPr>
          <w:rFonts w:ascii="Arial" w:eastAsia="宋体" w:hAnsi="Arial" w:cs="Times New Roman"/>
          <w:sz w:val="24"/>
          <w:szCs w:val="24"/>
        </w:rPr>
      </w:pPr>
    </w:p>
    <w:p>
      <w:pPr>
        <w:spacing w:after="78" w:afterLines="25" w:line="300" w:lineRule="auto"/>
        <w:rPr>
          <w:rFonts w:ascii="Arial" w:eastAsia="宋体" w:hAnsi="Arial" w:cs="Times New Roman"/>
          <w:sz w:val="24"/>
          <w:szCs w:val="24"/>
        </w:rPr>
      </w:pPr>
    </w:p>
    <w:p>
      <w:pPr>
        <w:spacing w:after="78" w:afterLines="25" w:line="300" w:lineRule="auto"/>
        <w:rPr>
          <w:rFonts w:ascii="Arial" w:eastAsia="宋体" w:hAnsi="Arial" w:cs="Times New Roman"/>
          <w:sz w:val="24"/>
          <w:szCs w:val="24"/>
        </w:rPr>
      </w:pPr>
    </w:p>
    <w:p>
      <w:pPr>
        <w:spacing w:after="78" w:afterLines="25" w:line="300" w:lineRule="auto"/>
        <w:rPr>
          <w:rFonts w:ascii="Arial" w:eastAsia="宋体" w:hAnsi="Arial" w:cs="Times New Roman"/>
          <w:sz w:val="24"/>
          <w:szCs w:val="24"/>
        </w:rPr>
      </w:pPr>
    </w:p>
    <w:p>
      <w:pPr>
        <w:spacing w:after="78" w:afterLines="25" w:line="300" w:lineRule="auto"/>
        <w:rPr>
          <w:rFonts w:ascii="Arial" w:eastAsia="宋体" w:hAnsi="Arial" w:cs="Times New Roman"/>
          <w:sz w:val="24"/>
          <w:szCs w:val="24"/>
        </w:rPr>
      </w:pPr>
    </w:p>
    <w:p>
      <w:pPr>
        <w:spacing w:after="78" w:afterLines="25" w:line="300" w:lineRule="auto"/>
        <w:rPr>
          <w:rFonts w:ascii="Arial" w:eastAsia="宋体" w:hAnsi="Arial" w:cs="Times New Roman"/>
          <w:sz w:val="24"/>
          <w:szCs w:val="24"/>
        </w:rPr>
      </w:pPr>
    </w:p>
    <w:p>
      <w:pPr>
        <w:spacing w:after="78" w:afterLines="25" w:line="300" w:lineRule="auto"/>
        <w:rPr>
          <w:rFonts w:ascii="Arial" w:eastAsia="宋体" w:hAnsi="Arial" w:cs="Times New Roman"/>
          <w:sz w:val="24"/>
          <w:szCs w:val="24"/>
        </w:rPr>
      </w:pPr>
    </w:p>
    <w:p>
      <w:pPr>
        <w:spacing w:after="78" w:afterLines="25" w:line="300" w:lineRule="auto"/>
        <w:rPr>
          <w:rFonts w:ascii="Arial" w:eastAsia="宋体" w:hAnsi="Arial" w:cs="Times New Roman"/>
          <w:sz w:val="24"/>
          <w:szCs w:val="24"/>
        </w:rPr>
      </w:pPr>
    </w:p>
    <w:p>
      <w:pPr>
        <w:spacing w:after="78" w:afterLines="25" w:line="300" w:lineRule="auto"/>
        <w:rPr>
          <w:rFonts w:ascii="Arial" w:eastAsia="宋体" w:hAnsi="Arial" w:cs="Times New Roman"/>
          <w:sz w:val="24"/>
          <w:szCs w:val="24"/>
        </w:rPr>
      </w:pPr>
    </w:p>
    <w:p>
      <w:pPr>
        <w:spacing w:after="78" w:afterLines="25" w:line="300" w:lineRule="auto"/>
        <w:rPr>
          <w:rFonts w:ascii="Arial" w:eastAsia="宋体" w:hAnsi="Arial" w:cs="Times New Roman"/>
          <w:sz w:val="24"/>
          <w:szCs w:val="24"/>
        </w:rPr>
      </w:pPr>
    </w:p>
    <w:p>
      <w:pPr>
        <w:spacing w:after="78" w:afterLines="25" w:line="300" w:lineRule="auto"/>
        <w:rPr>
          <w:rFonts w:ascii="Arial" w:eastAsia="宋体" w:hAnsi="Arial" w:cs="Times New Roman"/>
          <w:sz w:val="24"/>
          <w:szCs w:val="24"/>
        </w:rPr>
      </w:pPr>
    </w:p>
    <w:p>
      <w:pPr>
        <w:spacing w:after="78" w:afterLines="25" w:line="300" w:lineRule="auto"/>
        <w:rPr>
          <w:rFonts w:ascii="Arial" w:eastAsia="宋体" w:hAnsi="Arial" w:cs="Times New Roman"/>
          <w:sz w:val="24"/>
          <w:szCs w:val="24"/>
        </w:rPr>
      </w:pPr>
    </w:p>
    <w:p>
      <w:pPr>
        <w:spacing w:after="78" w:afterLines="25" w:line="300" w:lineRule="auto"/>
        <w:rPr>
          <w:rFonts w:ascii="Arial" w:eastAsia="宋体" w:hAnsi="Arial" w:cs="Times New Roman"/>
          <w:sz w:val="24"/>
          <w:szCs w:val="24"/>
        </w:rPr>
      </w:pPr>
    </w:p>
    <w:p>
      <w:pPr>
        <w:spacing w:after="78" w:afterLines="25" w:line="300" w:lineRule="auto"/>
        <w:rPr>
          <w:rFonts w:ascii="Arial" w:eastAsia="宋体" w:hAnsi="Arial" w:cs="Times New Roman"/>
          <w:sz w:val="24"/>
          <w:szCs w:val="24"/>
        </w:rPr>
      </w:pPr>
    </w:p>
    <w:p>
      <w:pPr>
        <w:spacing w:after="78" w:afterLines="25" w:line="300" w:lineRule="auto"/>
        <w:rPr>
          <w:rFonts w:ascii="Arial" w:eastAsia="宋体" w:hAnsi="Arial" w:cs="Times New Roman"/>
          <w:sz w:val="24"/>
          <w:szCs w:val="24"/>
        </w:rPr>
      </w:pPr>
    </w:p>
    <w:p>
      <w:pPr>
        <w:spacing w:after="78" w:afterLines="25" w:line="300" w:lineRule="auto"/>
        <w:rPr>
          <w:rFonts w:ascii="Arial" w:eastAsia="宋体" w:hAnsi="Arial" w:cs="Times New Roman"/>
          <w:sz w:val="24"/>
          <w:szCs w:val="24"/>
        </w:rPr>
      </w:pPr>
    </w:p>
    <w:p>
      <w:pPr>
        <w:spacing w:after="78" w:afterLines="25" w:line="300" w:lineRule="auto"/>
        <w:rPr>
          <w:rFonts w:ascii="Arial" w:eastAsia="宋体" w:hAnsi="Arial" w:cs="Times New Roman"/>
          <w:sz w:val="24"/>
          <w:szCs w:val="24"/>
        </w:rPr>
      </w:pPr>
    </w:p>
    <w:p>
      <w:pPr>
        <w:spacing w:after="78" w:afterLines="25" w:line="300" w:lineRule="auto"/>
        <w:rPr>
          <w:rFonts w:ascii="Arial" w:eastAsia="宋体" w:hAnsi="Arial" w:cs="Times New Roman"/>
          <w:sz w:val="24"/>
          <w:szCs w:val="24"/>
        </w:rPr>
      </w:pPr>
    </w:p>
    <w:p>
      <w:pPr>
        <w:spacing w:after="78" w:afterLines="25" w:line="300" w:lineRule="auto"/>
        <w:rPr>
          <w:rFonts w:ascii="Arial" w:eastAsia="宋体" w:hAnsi="Arial" w:cs="Times New Roman"/>
          <w:sz w:val="24"/>
          <w:szCs w:val="24"/>
        </w:rPr>
      </w:pPr>
    </w:p>
    <w:p>
      <w:pPr>
        <w:spacing w:after="78" w:afterLines="25" w:line="300" w:lineRule="auto"/>
        <w:jc w:val="center"/>
        <w:rPr>
          <w:rFonts w:ascii="Arial" w:eastAsia="宋体" w:hAnsi="Arial" w:cs="Times New Roman"/>
          <w:sz w:val="24"/>
          <w:szCs w:val="24"/>
        </w:rPr>
      </w:pPr>
      <w:r>
        <w:rPr>
          <w:rFonts w:ascii="Arial" w:eastAsia="宋体" w:hAnsi="Arial" w:cs="Times New Roman" w:hint="eastAsia"/>
          <w:b/>
          <w:sz w:val="24"/>
          <w:szCs w:val="24"/>
        </w:rPr>
        <w:t>（本章未提供的招标要求的其他文件格式由供应商自拟）</w:t>
      </w:r>
    </w:p>
    <w:p>
      <w:pPr>
        <w:widowControl/>
        <w:jc w:val="left"/>
        <w:rPr>
          <w:rFonts w:ascii="Arial" w:eastAsia="宋体" w:hAnsi="Arial" w:cs="Times New Roman"/>
          <w:szCs w:val="24"/>
        </w:rPr>
      </w:pPr>
      <w:r>
        <w:br w:type="page"/>
      </w:r>
    </w:p>
    <w:p>
      <w:pPr>
        <w:spacing w:after="78" w:afterLines="25" w:line="300" w:lineRule="auto"/>
        <w:outlineLvl w:val="2"/>
        <w:rPr>
          <w:rFonts w:ascii="Arial" w:eastAsia="宋体" w:hAnsi="Arial" w:cs="Times New Roman"/>
          <w:b/>
          <w:color w:val="FF0000"/>
          <w:sz w:val="32"/>
          <w:szCs w:val="32"/>
        </w:rPr>
      </w:pPr>
      <w:r>
        <w:rPr>
          <w:rFonts w:ascii="Arial" w:eastAsia="宋体" w:hAnsi="Arial" w:cs="Times New Roman" w:hint="eastAsia"/>
          <w:b/>
          <w:color w:val="FF0000"/>
          <w:sz w:val="32"/>
          <w:szCs w:val="32"/>
        </w:rPr>
        <w:t>（二）投标文件附件（信息不公开部分）</w:t>
      </w:r>
    </w:p>
    <w:p>
      <w:pPr>
        <w:keepNext/>
        <w:keepLines/>
        <w:adjustRightInd w:val="0"/>
        <w:snapToGrid w:val="0"/>
        <w:spacing w:line="360" w:lineRule="auto"/>
        <w:jc w:val="center"/>
        <w:textAlignment w:val="baseline"/>
        <w:outlineLvl w:val="3"/>
        <w:rPr>
          <w:rFonts w:ascii="宋体" w:eastAsia="宋体" w:hAnsi="宋体" w:cs="Times New Roman"/>
          <w:b/>
          <w:bCs/>
          <w:kern w:val="0"/>
          <w:sz w:val="24"/>
          <w:szCs w:val="20"/>
        </w:rPr>
      </w:pPr>
      <w:r>
        <w:rPr>
          <w:rFonts w:ascii="宋体" w:eastAsia="宋体" w:hAnsi="宋体" w:cs="Times New Roman" w:hint="eastAsia"/>
          <w:b/>
          <w:bCs/>
          <w:kern w:val="0"/>
          <w:sz w:val="24"/>
          <w:szCs w:val="20"/>
        </w:rPr>
        <w:t>1.法定代表人（负责人）资格证明书</w:t>
      </w:r>
    </w:p>
    <w:p>
      <w:pPr>
        <w:spacing w:after="78" w:afterLines="25" w:line="300" w:lineRule="auto"/>
        <w:rPr>
          <w:rFonts w:ascii="Arial" w:eastAsia="宋体" w:hAnsi="Arial" w:cs="Times New Roman"/>
          <w:szCs w:val="24"/>
        </w:rPr>
      </w:pPr>
    </w:p>
    <w:p>
      <w:pPr>
        <w:spacing w:line="300" w:lineRule="auto"/>
        <w:ind w:left="140"/>
        <w:jc w:val="center"/>
        <w:rPr>
          <w:rFonts w:ascii="Arial" w:eastAsia="宋体" w:hAnsi="Arial" w:cs="Arial"/>
          <w:b/>
          <w:sz w:val="30"/>
          <w:szCs w:val="30"/>
        </w:rPr>
      </w:pPr>
    </w:p>
    <w:p>
      <w:pPr>
        <w:spacing w:line="300" w:lineRule="auto"/>
        <w:ind w:left="140"/>
        <w:jc w:val="center"/>
        <w:rPr>
          <w:rFonts w:ascii="Arial" w:eastAsia="宋体" w:hAnsi="Arial" w:cs="Arial"/>
          <w:b/>
          <w:sz w:val="24"/>
          <w:szCs w:val="24"/>
        </w:rPr>
      </w:pPr>
      <w:r>
        <w:rPr>
          <w:rFonts w:ascii="Arial" w:eastAsia="宋体" w:hAnsi="Arial" w:cs="Arial" w:hint="eastAsia"/>
          <w:b/>
          <w:sz w:val="24"/>
          <w:szCs w:val="24"/>
        </w:rPr>
        <w:t>法定代表人（负责人）资格证明书</w:t>
      </w:r>
    </w:p>
    <w:p>
      <w:pPr>
        <w:spacing w:line="480" w:lineRule="atLeast"/>
        <w:ind w:firstLine="420" w:firstLineChars="200"/>
        <w:rPr>
          <w:rFonts w:ascii="Arial" w:eastAsia="仿宋_GB2312" w:hAnsi="Arial" w:cs="Times New Roman"/>
          <w:sz w:val="24"/>
          <w:szCs w:val="24"/>
        </w:rPr>
      </w:pPr>
    </w:p>
    <w:p>
      <w:pPr>
        <w:spacing w:line="300" w:lineRule="auto"/>
        <w:rPr>
          <w:rFonts w:ascii="Arial" w:eastAsia="宋体" w:hAnsi="Arial" w:cs="Times New Roman"/>
          <w:szCs w:val="21"/>
          <w:u w:val="single"/>
        </w:rPr>
      </w:pPr>
      <w:r>
        <w:rPr>
          <w:rFonts w:ascii="Arial" w:eastAsia="宋体" w:hAnsi="Arial" w:cs="Times New Roman" w:hint="eastAsia"/>
          <w:szCs w:val="21"/>
        </w:rPr>
        <w:t>单位名称：</w:t>
      </w:r>
    </w:p>
    <w:p>
      <w:pPr>
        <w:spacing w:line="300" w:lineRule="auto"/>
        <w:rPr>
          <w:rFonts w:ascii="Arial" w:eastAsia="宋体" w:hAnsi="Arial" w:cs="Times New Roman"/>
          <w:szCs w:val="21"/>
          <w:u w:val="single"/>
        </w:rPr>
      </w:pPr>
      <w:r>
        <w:rPr>
          <w:rFonts w:ascii="Arial" w:eastAsia="宋体" w:hAnsi="Arial" w:cs="Times New Roman" w:hint="eastAsia"/>
          <w:szCs w:val="21"/>
        </w:rPr>
        <w:t>地址：</w:t>
      </w:r>
    </w:p>
    <w:p>
      <w:pPr>
        <w:spacing w:line="300" w:lineRule="auto"/>
        <w:rPr>
          <w:rFonts w:ascii="Arial" w:eastAsia="宋体" w:hAnsi="Arial" w:cs="Times New Roman"/>
          <w:szCs w:val="21"/>
          <w:u w:val="single"/>
        </w:rPr>
      </w:pPr>
      <w:r>
        <w:rPr>
          <w:rFonts w:ascii="Arial" w:eastAsia="宋体" w:hAnsi="Arial" w:cs="Times New Roman" w:hint="eastAsia"/>
          <w:szCs w:val="21"/>
        </w:rPr>
        <w:t>姓名：性别：年龄：职务：</w:t>
      </w:r>
    </w:p>
    <w:p>
      <w:pPr>
        <w:spacing w:line="300" w:lineRule="auto"/>
        <w:rPr>
          <w:rFonts w:ascii="Arial" w:eastAsia="宋体" w:hAnsi="Arial" w:cs="Times New Roman"/>
          <w:szCs w:val="21"/>
        </w:rPr>
      </w:pPr>
      <w:r>
        <w:rPr>
          <w:rFonts w:ascii="Arial" w:eastAsia="宋体" w:hAnsi="Arial" w:cs="Times New Roman" w:hint="eastAsia"/>
          <w:szCs w:val="21"/>
        </w:rPr>
        <w:t>系的法定代表人（负责人）。</w:t>
      </w:r>
    </w:p>
    <w:p>
      <w:pPr>
        <w:spacing w:line="300" w:lineRule="auto"/>
        <w:rPr>
          <w:rFonts w:ascii="Arial" w:eastAsia="宋体" w:hAnsi="Arial" w:cs="Times New Roman"/>
          <w:szCs w:val="21"/>
        </w:rPr>
      </w:pPr>
      <w:r>
        <w:rPr>
          <w:rFonts w:ascii="Arial" w:eastAsia="宋体" w:hAnsi="Arial" w:cs="Times New Roman" w:hint="eastAsia"/>
          <w:szCs w:val="21"/>
        </w:rPr>
        <w:t>特此证明</w:t>
      </w:r>
    </w:p>
    <w:p>
      <w:pPr>
        <w:spacing w:line="300" w:lineRule="auto"/>
        <w:rPr>
          <w:rFonts w:ascii="Arial" w:eastAsia="宋体" w:hAnsi="Arial" w:cs="Times New Roman"/>
          <w:szCs w:val="21"/>
        </w:rPr>
      </w:pPr>
    </w:p>
    <w:p>
      <w:pPr>
        <w:spacing w:line="300" w:lineRule="auto"/>
        <w:rPr>
          <w:rFonts w:ascii="Arial" w:eastAsia="宋体" w:hAnsi="Arial" w:cs="Times New Roman"/>
          <w:szCs w:val="21"/>
        </w:rPr>
      </w:pPr>
      <w:r>
        <w:rPr>
          <w:rFonts w:ascii="Arial" w:eastAsia="宋体" w:hAnsi="Arial" w:cs="Times New Roman" w:hint="eastAsia"/>
          <w:szCs w:val="21"/>
        </w:rPr>
        <w:t>投标人（投标单位）：</w:t>
      </w:r>
    </w:p>
    <w:p>
      <w:pPr>
        <w:spacing w:line="300" w:lineRule="auto"/>
        <w:rPr>
          <w:rFonts w:ascii="Arial" w:eastAsia="宋体" w:hAnsi="Arial" w:cs="Times New Roman"/>
          <w:szCs w:val="21"/>
        </w:rPr>
      </w:pPr>
      <w:r>
        <w:rPr>
          <w:rFonts w:ascii="Arial" w:eastAsia="宋体" w:hAnsi="Arial" w:cs="Times New Roman" w:hint="eastAsia"/>
          <w:szCs w:val="21"/>
        </w:rPr>
        <w:t>日期：年月日</w:t>
      </w:r>
    </w:p>
    <w:p>
      <w:pPr>
        <w:spacing w:line="300" w:lineRule="auto"/>
        <w:rPr>
          <w:rFonts w:ascii="Arial" w:eastAsia="宋体" w:hAnsi="Arial" w:cs="Times New Roman"/>
          <w:b/>
          <w:color w:val="FF0000"/>
          <w:szCs w:val="21"/>
        </w:rPr>
      </w:pPr>
      <w:r>
        <w:rPr>
          <w:rFonts w:ascii="Arial" w:eastAsia="宋体" w:hAnsi="Arial" w:cs="Times New Roman" w:hint="eastAsia"/>
          <w:szCs w:val="21"/>
        </w:rPr>
        <w:t>联系电话：手机：</w:t>
      </w:r>
      <w:r>
        <w:rPr>
          <w:rFonts w:ascii="Arial" w:eastAsia="宋体" w:hAnsi="Arial" w:cs="Times New Roman" w:hint="eastAsia"/>
          <w:b/>
          <w:szCs w:val="21"/>
        </w:rPr>
        <w:t>（如法定代表人（负责人）为投标人代表，则需填写此项）</w:t>
      </w:r>
    </w:p>
    <w:p>
      <w:pPr>
        <w:spacing w:line="500" w:lineRule="exact"/>
        <w:ind w:firstLine="420" w:firstLineChars="200"/>
        <w:rPr>
          <w:rFonts w:ascii="Arial" w:eastAsia="宋体" w:hAnsi="Arial" w:cs="Times New Roman"/>
          <w:szCs w:val="24"/>
        </w:rPr>
      </w:pPr>
    </w:p>
    <w:p>
      <w:pPr>
        <w:spacing w:line="500" w:lineRule="exact"/>
        <w:rPr>
          <w:rFonts w:ascii="宋体" w:eastAsia="宋体" w:hAnsi="宋体" w:cs="Times New Roman"/>
          <w:b/>
          <w:color w:val="FF0000"/>
          <w:sz w:val="32"/>
          <w:szCs w:val="32"/>
        </w:rPr>
      </w:pPr>
      <w:r>
        <w:rPr>
          <w:rFonts w:ascii="宋体" w:eastAsia="宋体" w:hAnsi="宋体" w:cs="Times New Roman" w:hint="eastAsia"/>
          <w:b/>
          <w:color w:val="FF0000"/>
          <w:sz w:val="32"/>
          <w:szCs w:val="32"/>
        </w:rPr>
        <w:t>★必须提供法定代表人（负责人）有效期内身份证的正反面扫描件（港澳台居民可提供往来通行证），非中国国籍管辖范围的，可提供公安部门认可的身份证明材料，否则将导致投标无效。</w:t>
      </w:r>
    </w:p>
    <w:p>
      <w:pPr>
        <w:spacing w:line="500" w:lineRule="exact"/>
        <w:rPr>
          <w:rFonts w:ascii="宋体" w:eastAsia="宋体" w:hAnsi="宋体" w:cs="Times New Roman"/>
          <w:b/>
          <w:color w:val="FF0000"/>
          <w:sz w:val="32"/>
          <w:szCs w:val="32"/>
        </w:rPr>
      </w:pPr>
    </w:p>
    <w:p>
      <w:pPr>
        <w:snapToGrid w:val="0"/>
        <w:rPr>
          <w:rFonts w:ascii="宋体" w:eastAsia="宋体" w:hAnsi="宋体" w:cs="Times New Roman"/>
          <w:color w:val="FF0000"/>
          <w:sz w:val="28"/>
          <w:szCs w:val="28"/>
        </w:rPr>
      </w:pPr>
      <w:r>
        <w:rPr>
          <w:rFonts w:ascii="宋体" w:eastAsia="宋体" w:hAnsi="宋体" w:cs="Times New Roman" w:hint="eastAsia"/>
          <w:color w:val="FF0000"/>
          <w:sz w:val="28"/>
          <w:szCs w:val="28"/>
        </w:rPr>
        <w:t>备注：</w:t>
      </w:r>
    </w:p>
    <w:p>
      <w:pPr>
        <w:snapToGrid w:val="0"/>
        <w:ind w:firstLine="420" w:firstLineChars="200"/>
        <w:rPr>
          <w:rFonts w:ascii="Arial" w:eastAsia="宋体" w:hAnsi="Arial" w:cs="Times New Roman"/>
          <w:sz w:val="28"/>
          <w:szCs w:val="28"/>
        </w:rPr>
      </w:pPr>
      <w:r>
        <w:rPr>
          <w:rFonts w:ascii="宋体" w:eastAsia="宋体" w:hAnsi="宋体" w:cs="Times New Roman" w:hint="eastAsia"/>
          <w:color w:val="FF0000"/>
          <w:sz w:val="28"/>
          <w:szCs w:val="28"/>
        </w:rPr>
        <w:t>如发现上述人员非投标人法定代表人（负责人），视同提供虚假资料，按投标无效处理，并将依法承担相应法律责任。</w:t>
      </w:r>
    </w:p>
    <w:p>
      <w:pPr>
        <w:spacing w:line="500" w:lineRule="exact"/>
        <w:ind w:firstLine="420" w:firstLineChars="200"/>
        <w:rPr>
          <w:rFonts w:ascii="Arial" w:eastAsia="宋体" w:hAnsi="Arial" w:cs="Times New Roman"/>
          <w:szCs w:val="24"/>
        </w:rPr>
      </w:pPr>
    </w:p>
    <w:p>
      <w:pPr>
        <w:keepNext/>
        <w:keepLines/>
        <w:pageBreakBefore/>
        <w:adjustRightInd w:val="0"/>
        <w:snapToGrid w:val="0"/>
        <w:spacing w:line="360" w:lineRule="auto"/>
        <w:jc w:val="center"/>
        <w:textAlignment w:val="baseline"/>
        <w:outlineLvl w:val="3"/>
        <w:rPr>
          <w:rFonts w:ascii="宋体" w:eastAsia="宋体" w:hAnsi="宋体" w:cs="Times New Roman"/>
          <w:b/>
          <w:bCs/>
          <w:kern w:val="0"/>
          <w:sz w:val="24"/>
          <w:szCs w:val="20"/>
        </w:rPr>
      </w:pPr>
      <w:r>
        <w:rPr>
          <w:rFonts w:ascii="宋体" w:eastAsia="宋体" w:hAnsi="宋体" w:cs="Times New Roman" w:hint="eastAsia"/>
          <w:b/>
          <w:bCs/>
          <w:kern w:val="0"/>
          <w:sz w:val="24"/>
          <w:szCs w:val="20"/>
          <w:highlight w:val="green"/>
        </w:rPr>
        <w:t>2.投标文件签署授权委托书</w:t>
      </w:r>
    </w:p>
    <w:p>
      <w:pPr>
        <w:spacing w:line="300" w:lineRule="auto"/>
        <w:jc w:val="center"/>
        <w:rPr>
          <w:rFonts w:ascii="Arial" w:eastAsia="宋体" w:hAnsi="Arial" w:cs="Times New Roman"/>
          <w:b/>
          <w:sz w:val="28"/>
          <w:szCs w:val="28"/>
        </w:rPr>
      </w:pPr>
    </w:p>
    <w:p>
      <w:pPr>
        <w:spacing w:line="300" w:lineRule="auto"/>
        <w:ind w:left="140"/>
        <w:jc w:val="center"/>
        <w:rPr>
          <w:rFonts w:ascii="Arial" w:eastAsia="宋体" w:hAnsi="Arial" w:cs="Arial"/>
          <w:b/>
          <w:sz w:val="24"/>
          <w:szCs w:val="24"/>
        </w:rPr>
      </w:pPr>
      <w:r>
        <w:rPr>
          <w:rFonts w:ascii="Arial" w:eastAsia="宋体" w:hAnsi="Arial" w:cs="Arial" w:hint="eastAsia"/>
          <w:b/>
          <w:sz w:val="24"/>
          <w:szCs w:val="24"/>
        </w:rPr>
        <w:t>法定代表人（负责人）授权书</w:t>
      </w:r>
    </w:p>
    <w:p>
      <w:pPr>
        <w:spacing w:line="360" w:lineRule="auto"/>
        <w:ind w:firstLine="420" w:firstLineChars="200"/>
        <w:rPr>
          <w:rFonts w:ascii="Arial" w:eastAsia="宋体" w:hAnsi="Arial" w:cs="Times New Roman"/>
          <w:szCs w:val="21"/>
        </w:rPr>
      </w:pPr>
    </w:p>
    <w:p>
      <w:pPr>
        <w:spacing w:line="360" w:lineRule="auto"/>
        <w:ind w:firstLine="420" w:firstLineChars="200"/>
        <w:rPr>
          <w:rFonts w:ascii="Arial" w:eastAsia="宋体" w:hAnsi="Arial" w:cs="Times New Roman"/>
          <w:szCs w:val="21"/>
        </w:rPr>
      </w:pPr>
      <w:r>
        <w:rPr>
          <w:rFonts w:ascii="Arial" w:eastAsia="宋体" w:hAnsi="Arial" w:cs="Times New Roman" w:hint="eastAsia"/>
          <w:szCs w:val="21"/>
        </w:rPr>
        <w:t>本授权委托书声明：我（姓名）系（投标人名称）的法定代表人（负责人），现授权委托我公司（单位）的（姓名）为我公司（单位）的投标代表，代表我公司（单位）签署本项目的投标文件、参与项目投标、澄清投标文件、签署合同和处理与该项目有关的一切事务。在此过程中所签署的一切文件及处理与该项目有关的一切事务，我均予以承认。</w:t>
      </w:r>
    </w:p>
    <w:p>
      <w:pPr>
        <w:spacing w:line="360" w:lineRule="auto"/>
        <w:ind w:firstLine="420" w:firstLineChars="200"/>
        <w:rPr>
          <w:rFonts w:ascii="Arial" w:eastAsia="宋体" w:hAnsi="Arial" w:cs="Times New Roman"/>
          <w:szCs w:val="21"/>
        </w:rPr>
      </w:pPr>
      <w:r>
        <w:rPr>
          <w:rFonts w:ascii="Arial" w:eastAsia="宋体" w:hAnsi="Arial" w:cs="Times New Roman" w:hint="eastAsia"/>
          <w:szCs w:val="21"/>
        </w:rPr>
        <w:t>授权书有效期内被授权人签署的所有文件不因授权的撤销而失效。被授权人无转委托权。</w:t>
      </w:r>
    </w:p>
    <w:p>
      <w:pPr>
        <w:spacing w:line="300" w:lineRule="auto"/>
        <w:rPr>
          <w:rFonts w:ascii="Arial" w:eastAsia="宋体" w:hAnsi="Arial" w:cs="Times New Roman"/>
          <w:szCs w:val="21"/>
        </w:rPr>
      </w:pPr>
    </w:p>
    <w:p>
      <w:pPr>
        <w:spacing w:line="360" w:lineRule="auto"/>
        <w:ind w:left="3360" w:leftChars="1600"/>
        <w:rPr>
          <w:rFonts w:ascii="Arial" w:eastAsia="宋体" w:hAnsi="Arial" w:cs="Times New Roman"/>
          <w:szCs w:val="21"/>
          <w:u w:val="single"/>
        </w:rPr>
      </w:pPr>
      <w:r>
        <w:rPr>
          <w:rFonts w:ascii="Arial" w:eastAsia="宋体" w:hAnsi="Arial" w:cs="Times New Roman" w:hint="eastAsia"/>
          <w:szCs w:val="21"/>
        </w:rPr>
        <w:t>投标人代表：性别：</w:t>
      </w:r>
    </w:p>
    <w:p>
      <w:pPr>
        <w:spacing w:line="360" w:lineRule="auto"/>
        <w:ind w:left="3360" w:leftChars="1600"/>
        <w:rPr>
          <w:rFonts w:ascii="Arial" w:eastAsia="宋体" w:hAnsi="Arial" w:cs="Times New Roman"/>
          <w:szCs w:val="21"/>
        </w:rPr>
      </w:pPr>
      <w:r>
        <w:rPr>
          <w:rFonts w:ascii="Arial" w:eastAsia="宋体" w:hAnsi="Arial" w:cs="Times New Roman" w:hint="eastAsia"/>
          <w:szCs w:val="21"/>
        </w:rPr>
        <w:t>联系电话：手机：</w:t>
      </w:r>
    </w:p>
    <w:p>
      <w:pPr>
        <w:spacing w:line="360" w:lineRule="auto"/>
        <w:ind w:left="3360" w:leftChars="1600"/>
        <w:rPr>
          <w:rFonts w:ascii="Arial" w:eastAsia="宋体" w:hAnsi="Arial" w:cs="Times New Roman"/>
          <w:szCs w:val="21"/>
          <w:u w:val="single"/>
        </w:rPr>
      </w:pPr>
      <w:r>
        <w:rPr>
          <w:rFonts w:ascii="Arial" w:eastAsia="宋体" w:hAnsi="Arial" w:cs="Times New Roman" w:hint="eastAsia"/>
          <w:szCs w:val="21"/>
        </w:rPr>
        <w:t>身份证号码：职务：</w:t>
      </w:r>
    </w:p>
    <w:p>
      <w:pPr>
        <w:spacing w:line="360" w:lineRule="auto"/>
        <w:ind w:left="3360" w:leftChars="1600"/>
        <w:rPr>
          <w:rFonts w:ascii="Arial" w:eastAsia="宋体" w:hAnsi="Arial" w:cs="Times New Roman"/>
          <w:szCs w:val="21"/>
        </w:rPr>
      </w:pPr>
      <w:r>
        <w:rPr>
          <w:rFonts w:ascii="Arial" w:eastAsia="宋体" w:hAnsi="Arial" w:cs="Times New Roman" w:hint="eastAsia"/>
          <w:szCs w:val="21"/>
        </w:rPr>
        <w:t>投标人（投标单位）：</w:t>
      </w:r>
    </w:p>
    <w:p>
      <w:pPr>
        <w:spacing w:line="360" w:lineRule="auto"/>
        <w:ind w:left="3360" w:leftChars="1600"/>
        <w:rPr>
          <w:rFonts w:ascii="Arial" w:eastAsia="宋体" w:hAnsi="Arial" w:cs="Times New Roman"/>
          <w:szCs w:val="21"/>
        </w:rPr>
      </w:pPr>
      <w:r>
        <w:rPr>
          <w:rFonts w:ascii="Arial" w:eastAsia="宋体" w:hAnsi="Arial" w:cs="Times New Roman" w:hint="eastAsia"/>
          <w:szCs w:val="21"/>
        </w:rPr>
        <w:t>法定代表人（负责人）：</w:t>
      </w:r>
    </w:p>
    <w:p>
      <w:pPr>
        <w:spacing w:line="360" w:lineRule="auto"/>
        <w:ind w:left="3360" w:leftChars="1600"/>
        <w:rPr>
          <w:rFonts w:ascii="Arial" w:eastAsia="宋体" w:hAnsi="Arial" w:cs="Times New Roman"/>
          <w:szCs w:val="21"/>
        </w:rPr>
      </w:pPr>
      <w:r>
        <w:rPr>
          <w:rFonts w:ascii="Arial" w:eastAsia="宋体" w:hAnsi="Arial" w:cs="Times New Roman" w:hint="eastAsia"/>
          <w:szCs w:val="21"/>
        </w:rPr>
        <w:t>授权委托日期：年月日</w:t>
      </w:r>
    </w:p>
    <w:p>
      <w:pPr>
        <w:spacing w:line="500" w:lineRule="exact"/>
        <w:ind w:firstLine="420" w:firstLineChars="200"/>
        <w:rPr>
          <w:rFonts w:ascii="Arial" w:eastAsia="宋体" w:hAnsi="Arial" w:cs="Times New Roman"/>
          <w:szCs w:val="24"/>
        </w:rPr>
      </w:pPr>
    </w:p>
    <w:p>
      <w:pPr>
        <w:spacing w:after="78" w:afterLines="25" w:line="300" w:lineRule="auto"/>
        <w:rPr>
          <w:rFonts w:ascii="宋体" w:eastAsia="宋体" w:hAnsi="宋体" w:cs="Times New Roman"/>
          <w:b/>
          <w:color w:val="FF0000"/>
          <w:sz w:val="32"/>
          <w:szCs w:val="32"/>
        </w:rPr>
      </w:pPr>
      <w:r>
        <w:rPr>
          <w:rFonts w:ascii="宋体" w:eastAsia="宋体" w:hAnsi="宋体" w:cs="Times New Roman" w:hint="eastAsia"/>
          <w:b/>
          <w:color w:val="FF0000"/>
          <w:sz w:val="32"/>
          <w:szCs w:val="32"/>
        </w:rPr>
        <w:t>★必须提供投标人代表有效期内身份证的正反面扫描件（港澳台居民可提供往来通行证），非中国国籍管辖范围的，可提供公安部门认可的身份证明材料，否则将导致投标无效。</w:t>
      </w:r>
    </w:p>
    <w:p>
      <w:pPr>
        <w:spacing w:after="78" w:afterLines="25" w:line="300" w:lineRule="auto"/>
        <w:rPr>
          <w:rFonts w:ascii="宋体" w:eastAsia="宋体" w:hAnsi="宋体" w:cs="Times New Roman"/>
          <w:b/>
          <w:color w:val="FF0000"/>
          <w:sz w:val="32"/>
          <w:szCs w:val="32"/>
        </w:rPr>
      </w:pPr>
    </w:p>
    <w:p>
      <w:pPr>
        <w:tabs>
          <w:tab w:val="left" w:pos="651"/>
        </w:tabs>
        <w:snapToGrid w:val="0"/>
        <w:rPr>
          <w:rFonts w:ascii="宋体" w:eastAsia="宋体" w:hAnsi="宋体" w:cs="Times New Roman"/>
          <w:color w:val="FF0000"/>
          <w:sz w:val="28"/>
          <w:szCs w:val="28"/>
        </w:rPr>
      </w:pPr>
      <w:r>
        <w:rPr>
          <w:rFonts w:ascii="宋体" w:eastAsia="宋体" w:hAnsi="宋体" w:cs="Times New Roman" w:hint="eastAsia"/>
          <w:color w:val="FF0000"/>
          <w:sz w:val="28"/>
          <w:szCs w:val="28"/>
        </w:rPr>
        <w:t>备注：</w:t>
      </w:r>
    </w:p>
    <w:p>
      <w:pPr>
        <w:tabs>
          <w:tab w:val="left" w:pos="651"/>
        </w:tabs>
        <w:snapToGrid w:val="0"/>
        <w:ind w:firstLine="420" w:firstLineChars="200"/>
        <w:rPr>
          <w:rFonts w:ascii="宋体" w:eastAsia="宋体" w:hAnsi="宋体" w:cs="Times New Roman"/>
          <w:color w:val="FF0000"/>
          <w:sz w:val="32"/>
          <w:szCs w:val="32"/>
        </w:rPr>
      </w:pPr>
      <w:r>
        <w:rPr>
          <w:rFonts w:ascii="宋体" w:eastAsia="宋体" w:hAnsi="宋体" w:cs="Times New Roman" w:hint="eastAsia"/>
          <w:color w:val="FF0000"/>
          <w:sz w:val="28"/>
          <w:szCs w:val="28"/>
        </w:rPr>
        <w:t>1、若投标人代表为法定代表人（负责人）则不需提供《法定代表人（负责人）授权书》，但需在《法定代表人（负责人）证明书》中提供法定代表人（负责人）联系方式。</w:t>
      </w:r>
    </w:p>
    <w:p>
      <w:pPr>
        <w:tabs>
          <w:tab w:val="left" w:pos="651"/>
        </w:tabs>
        <w:snapToGrid w:val="0"/>
        <w:ind w:firstLine="420" w:firstLineChars="200"/>
        <w:rPr>
          <w:rFonts w:ascii="宋体" w:eastAsia="宋体" w:hAnsi="宋体" w:cs="Times New Roman"/>
          <w:color w:val="FF0000"/>
          <w:sz w:val="28"/>
          <w:szCs w:val="28"/>
        </w:rPr>
      </w:pPr>
      <w:r>
        <w:rPr>
          <w:rFonts w:ascii="宋体" w:eastAsia="宋体" w:hAnsi="宋体" w:cs="Times New Roman" w:hint="eastAsia"/>
          <w:color w:val="FF0000"/>
          <w:sz w:val="32"/>
          <w:szCs w:val="32"/>
        </w:rPr>
        <w:t>2、</w:t>
      </w:r>
      <w:r>
        <w:rPr>
          <w:rFonts w:ascii="宋体" w:eastAsia="宋体" w:hAnsi="宋体" w:cs="Times New Roman" w:hint="eastAsia"/>
          <w:color w:val="FF0000"/>
          <w:sz w:val="28"/>
          <w:szCs w:val="28"/>
        </w:rPr>
        <w:t>投标人代表须为投标供应商在职人员（在职期限应包括开标当日），且仅代表本投标供应商进行投标。投标文件中无需提供证明材料，采购人和招标机构保留对投标人代表社保情况、劳动合同等进行调查核实的权利。如发现投标人代表非投标人在职人员，视同提供虚假资料，按投标无效处理，并将依法承担相应法律责任。</w:t>
      </w:r>
      <w:r>
        <w:br w:type="page"/>
      </w:r>
    </w:p>
    <w:p>
      <w:pPr>
        <w:keepNext/>
        <w:keepLines/>
        <w:pageBreakBefore/>
        <w:adjustRightInd w:val="0"/>
        <w:snapToGrid w:val="0"/>
        <w:spacing w:line="360" w:lineRule="auto"/>
        <w:jc w:val="center"/>
        <w:textAlignment w:val="baseline"/>
        <w:outlineLvl w:val="3"/>
        <w:rPr>
          <w:rFonts w:ascii="宋体" w:eastAsia="宋体" w:hAnsi="宋体" w:cs="Times New Roman"/>
          <w:b/>
          <w:bCs/>
          <w:kern w:val="0"/>
          <w:sz w:val="24"/>
          <w:szCs w:val="20"/>
        </w:rPr>
      </w:pPr>
      <w:r>
        <w:rPr>
          <w:rFonts w:ascii="宋体" w:eastAsia="宋体" w:hAnsi="宋体" w:cs="Times New Roman" w:hint="eastAsia"/>
          <w:b/>
          <w:bCs/>
          <w:kern w:val="0"/>
          <w:sz w:val="24"/>
          <w:szCs w:val="20"/>
        </w:rPr>
        <w:t>3</w:t>
      </w:r>
      <w:r>
        <w:rPr>
          <w:rFonts w:ascii="宋体" w:eastAsia="宋体" w:hAnsi="宋体" w:cs="Times New Roman"/>
          <w:b/>
          <w:bCs/>
          <w:kern w:val="0"/>
          <w:sz w:val="24"/>
          <w:szCs w:val="20"/>
        </w:rPr>
        <w:t>.</w:t>
      </w:r>
      <w:r>
        <w:rPr>
          <w:rFonts w:ascii="宋体" w:eastAsia="宋体" w:hAnsi="宋体" w:cs="Times New Roman" w:hint="eastAsia"/>
          <w:b/>
          <w:bCs/>
          <w:kern w:val="0"/>
          <w:sz w:val="24"/>
          <w:szCs w:val="20"/>
        </w:rPr>
        <w:t>商务（服务）条款偏离表</w:t>
      </w:r>
    </w:p>
    <w:p>
      <w:pPr>
        <w:snapToGrid w:val="0"/>
        <w:rPr>
          <w:rFonts w:ascii="Arial" w:eastAsia="宋体" w:hAnsi="Arial" w:cs="Arial"/>
          <w:color w:val="000000"/>
          <w:sz w:val="24"/>
          <w:szCs w:val="24"/>
          <w:u w:val="single"/>
        </w:rPr>
      </w:pPr>
      <w:r>
        <w:rPr>
          <w:rFonts w:ascii="Arial" w:eastAsia="宋体" w:hAnsi="Arial" w:cs="Arial" w:hint="eastAsia"/>
          <w:color w:val="000000"/>
          <w:sz w:val="24"/>
          <w:szCs w:val="24"/>
        </w:rPr>
        <w:t>投标单位（投标人）名称：</w:t>
      </w:r>
    </w:p>
    <w:p>
      <w:pPr>
        <w:snapToGrid w:val="0"/>
        <w:rPr>
          <w:rFonts w:ascii="Arial" w:eastAsia="宋体" w:hAnsi="Arial" w:cs="Arial"/>
          <w:sz w:val="24"/>
          <w:szCs w:val="24"/>
        </w:rPr>
      </w:pPr>
    </w:p>
    <w:tbl>
      <w:tblPr>
        <w:tblStyle w:val="TableNormal"/>
        <w:tblW w:w="910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
      <w:tblGrid>
        <w:gridCol w:w="602"/>
        <w:gridCol w:w="3901"/>
        <w:gridCol w:w="3414"/>
        <w:gridCol w:w="1186"/>
      </w:tblGrid>
      <w:tr>
        <w:tblPrEx>
          <w:tblW w:w="910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Ex>
        <w:trPr>
          <w:jc w:val="center"/>
        </w:trPr>
        <w:tc>
          <w:tcPr>
            <w:tcW w:w="602" w:type="dxa"/>
            <w:vAlign w:val="center"/>
          </w:tcPr>
          <w:p>
            <w:pPr>
              <w:jc w:val="center"/>
              <w:rPr>
                <w:rFonts w:ascii="宋体" w:eastAsia="宋体" w:hAnsi="宋体" w:cs="Arial"/>
                <w:b/>
                <w:szCs w:val="21"/>
              </w:rPr>
            </w:pPr>
            <w:r>
              <w:rPr>
                <w:rFonts w:ascii="宋体" w:eastAsia="宋体" w:hAnsi="宋体" w:cs="Arial" w:hint="eastAsia"/>
                <w:b/>
                <w:szCs w:val="21"/>
              </w:rPr>
              <w:t>序号</w:t>
            </w:r>
          </w:p>
        </w:tc>
        <w:tc>
          <w:tcPr>
            <w:tcW w:w="3901" w:type="dxa"/>
            <w:vAlign w:val="center"/>
          </w:tcPr>
          <w:p>
            <w:pPr>
              <w:jc w:val="center"/>
              <w:rPr>
                <w:rFonts w:ascii="宋体" w:eastAsia="宋体" w:hAnsi="宋体" w:cs="Arial"/>
                <w:b/>
                <w:szCs w:val="21"/>
              </w:rPr>
            </w:pPr>
            <w:r>
              <w:rPr>
                <w:rFonts w:ascii="宋体" w:eastAsia="宋体" w:hAnsi="宋体" w:cs="Arial" w:hint="eastAsia"/>
                <w:b/>
                <w:szCs w:val="21"/>
              </w:rPr>
              <w:t>招标文件要求</w:t>
            </w:r>
          </w:p>
        </w:tc>
        <w:tc>
          <w:tcPr>
            <w:tcW w:w="3414" w:type="dxa"/>
            <w:vAlign w:val="center"/>
          </w:tcPr>
          <w:p>
            <w:pPr>
              <w:jc w:val="center"/>
              <w:rPr>
                <w:rFonts w:ascii="宋体" w:eastAsia="宋体" w:hAnsi="宋体" w:cs="Arial"/>
                <w:b/>
                <w:szCs w:val="21"/>
              </w:rPr>
            </w:pPr>
            <w:r>
              <w:rPr>
                <w:rFonts w:ascii="宋体" w:eastAsia="宋体" w:hAnsi="宋体" w:cs="Arial" w:hint="eastAsia"/>
                <w:b/>
                <w:szCs w:val="21"/>
              </w:rPr>
              <w:t>投标文件响应</w:t>
            </w:r>
          </w:p>
        </w:tc>
        <w:tc>
          <w:tcPr>
            <w:tcW w:w="1186" w:type="dxa"/>
            <w:vAlign w:val="center"/>
          </w:tcPr>
          <w:p>
            <w:pPr>
              <w:jc w:val="center"/>
              <w:rPr>
                <w:rFonts w:ascii="宋体" w:eastAsia="宋体" w:hAnsi="宋体" w:cs="Arial"/>
                <w:b/>
                <w:szCs w:val="21"/>
              </w:rPr>
            </w:pPr>
            <w:r>
              <w:rPr>
                <w:rFonts w:ascii="宋体" w:eastAsia="宋体" w:hAnsi="宋体" w:cs="Arial" w:hint="eastAsia"/>
                <w:b/>
                <w:szCs w:val="21"/>
              </w:rPr>
              <w:t>说明</w:t>
            </w:r>
          </w:p>
        </w:tc>
      </w:tr>
      <w:tr>
        <w:tblPrEx>
          <w:tblW w:w="9103" w:type="dxa"/>
          <w:jc w:val="center"/>
          <w:tblLayout w:type="fixed"/>
          <w:tblCellMar>
            <w:top w:w="0" w:type="dxa"/>
            <w:left w:w="108" w:type="dxa"/>
            <w:bottom w:w="0" w:type="dxa"/>
            <w:right w:w="108" w:type="dxa"/>
          </w:tblCellMar>
        </w:tblPrEx>
        <w:trPr>
          <w:jc w:val="center"/>
        </w:trPr>
        <w:tc>
          <w:tcPr>
            <w:tcW w:w="602" w:type="dxa"/>
            <w:vAlign w:val="center"/>
          </w:tcPr>
          <w:p>
            <w:pPr>
              <w:spacing w:line="300" w:lineRule="auto"/>
              <w:jc w:val="center"/>
              <w:rPr>
                <w:rFonts w:ascii="Arial" w:eastAsia="宋体" w:hAnsi="Arial" w:cs="Times New Roman"/>
                <w:szCs w:val="24"/>
              </w:rPr>
            </w:pPr>
            <w:r>
              <w:rPr>
                <w:rFonts w:ascii="Arial" w:eastAsia="宋体" w:hAnsi="Arial" w:cs="Times New Roman" w:hint="eastAsia"/>
                <w:szCs w:val="24"/>
              </w:rPr>
              <w:t>1</w:t>
            </w:r>
          </w:p>
        </w:tc>
        <w:tc>
          <w:tcPr>
            <w:tcW w:w="3901" w:type="dxa"/>
            <w:vAlign w:val="center"/>
          </w:tcPr>
          <w:p>
            <w:pPr>
              <w:spacing w:line="300" w:lineRule="auto"/>
              <w:rPr>
                <w:rFonts w:ascii="Arial" w:eastAsia="宋体" w:hAnsi="Arial" w:cs="Times New Roman"/>
                <w:szCs w:val="24"/>
              </w:rPr>
            </w:pPr>
            <w:r>
              <w:rPr>
                <w:rFonts w:ascii="宋体" w:eastAsia="宋体" w:hAnsi="宋体" w:cs="Times New Roman" w:hint="eastAsia"/>
                <w:b/>
                <w:color w:val="FF0000"/>
                <w:kern w:val="0"/>
                <w:szCs w:val="21"/>
              </w:rPr>
              <w:t>《第三章 用户需求书：二、商务和服务条款部分》中所有带★号条款要求。</w:t>
            </w:r>
          </w:p>
        </w:tc>
        <w:tc>
          <w:tcPr>
            <w:tcW w:w="3414" w:type="dxa"/>
            <w:vAlign w:val="center"/>
          </w:tcPr>
          <w:p>
            <w:pPr>
              <w:rPr>
                <w:rFonts w:ascii="宋体" w:eastAsia="宋体" w:hAnsi="宋体" w:cs="Arial"/>
                <w:szCs w:val="21"/>
              </w:rPr>
            </w:pPr>
            <w:r>
              <w:rPr>
                <w:rFonts w:ascii="宋体" w:eastAsia="宋体" w:hAnsi="宋体" w:cs="Arial" w:hint="eastAsia"/>
                <w:szCs w:val="21"/>
              </w:rPr>
              <w:t>我公司（单位）完全响应满足招标文件中此项要求。</w:t>
            </w:r>
          </w:p>
        </w:tc>
        <w:tc>
          <w:tcPr>
            <w:tcW w:w="1186" w:type="dxa"/>
            <w:vAlign w:val="center"/>
          </w:tcPr>
          <w:p>
            <w:pPr>
              <w:rPr>
                <w:rFonts w:ascii="宋体" w:eastAsia="宋体" w:hAnsi="宋体" w:cs="Arial"/>
                <w:szCs w:val="21"/>
              </w:rPr>
            </w:pPr>
            <w:r>
              <w:rPr>
                <w:rFonts w:ascii="宋体" w:eastAsia="宋体" w:hAnsi="宋体" w:cs="Arial" w:hint="eastAsia"/>
                <w:szCs w:val="21"/>
              </w:rPr>
              <w:t>无偏离</w:t>
            </w:r>
          </w:p>
        </w:tc>
      </w:tr>
    </w:tbl>
    <w:p>
      <w:pPr>
        <w:snapToGrid w:val="0"/>
        <w:rPr>
          <w:rFonts w:asciiTheme="minorEastAsia" w:hAnsiTheme="minorEastAsia" w:cs="Times New Roman"/>
          <w:b/>
          <w:sz w:val="24"/>
          <w:szCs w:val="24"/>
        </w:rPr>
      </w:pPr>
    </w:p>
    <w:p>
      <w:pPr>
        <w:snapToGrid w:val="0"/>
        <w:rPr>
          <w:rFonts w:asciiTheme="minorEastAsia" w:hAnsiTheme="minorEastAsia" w:cs="Times New Roman"/>
          <w:b/>
          <w:sz w:val="24"/>
          <w:szCs w:val="24"/>
        </w:rPr>
      </w:pPr>
      <w:r>
        <w:rPr>
          <w:rFonts w:ascii="宋体" w:eastAsia="宋体" w:hAnsi="宋体" w:cs="Times New Roman" w:hint="eastAsia"/>
          <w:b/>
          <w:sz w:val="24"/>
          <w:szCs w:val="24"/>
        </w:rPr>
        <w:t>填写说明：</w:t>
      </w:r>
    </w:p>
    <w:p>
      <w:pPr>
        <w:numPr>
          <w:ilvl w:val="0"/>
          <w:numId w:val="5"/>
        </w:numPr>
        <w:snapToGrid w:val="0"/>
        <w:spacing w:after="78" w:afterLines="25" w:line="30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如投标人完全响应满足本表【招标文件要求】栏中内容的，建议投标人在对应的【投标文件响应】栏中填写“我公司（单位）完全响应满足招标文件中此项要求”即可，除招标文件另有注明外，不强制要求逐条列出响应；</w:t>
      </w:r>
    </w:p>
    <w:p>
      <w:pPr>
        <w:numPr>
          <w:ilvl w:val="0"/>
          <w:numId w:val="5"/>
        </w:numPr>
        <w:snapToGrid w:val="0"/>
        <w:spacing w:after="78" w:afterLines="25" w:line="30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如投标人响应情况优于或低于招标要求的，应在【投标文件响应】栏中作详细说明，如完全满足或符合招标文件要求的则无需说明，参照上一条填写内容即可，</w:t>
      </w:r>
      <w:r>
        <w:rPr>
          <w:rFonts w:asciiTheme="majorEastAsia" w:eastAsiaTheme="majorEastAsia" w:hAnsiTheme="majorEastAsia" w:cs="Times New Roman"/>
          <w:sz w:val="24"/>
          <w:szCs w:val="24"/>
        </w:rPr>
        <w:t>评标委员会将根据具体情况给予是否偏离的认定，并以此认定</w:t>
      </w:r>
      <w:r>
        <w:rPr>
          <w:rFonts w:asciiTheme="majorEastAsia" w:eastAsiaTheme="majorEastAsia" w:hAnsiTheme="majorEastAsia" w:cs="Times New Roman" w:hint="eastAsia"/>
          <w:sz w:val="24"/>
          <w:szCs w:val="24"/>
        </w:rPr>
        <w:t>标准</w:t>
      </w:r>
      <w:r>
        <w:rPr>
          <w:rFonts w:asciiTheme="majorEastAsia" w:eastAsiaTheme="majorEastAsia" w:hAnsiTheme="majorEastAsia" w:cs="Times New Roman"/>
          <w:sz w:val="24"/>
          <w:szCs w:val="24"/>
        </w:rPr>
        <w:t>为最终评判标准</w:t>
      </w:r>
      <w:r>
        <w:rPr>
          <w:rFonts w:asciiTheme="majorEastAsia" w:eastAsiaTheme="majorEastAsia" w:hAnsiTheme="majorEastAsia" w:cs="Times New Roman" w:hint="eastAsia"/>
          <w:sz w:val="24"/>
          <w:szCs w:val="24"/>
        </w:rPr>
        <w:t>；</w:t>
      </w:r>
    </w:p>
    <w:p>
      <w:pPr>
        <w:numPr>
          <w:ilvl w:val="0"/>
          <w:numId w:val="5"/>
        </w:numPr>
        <w:snapToGrid w:val="0"/>
        <w:spacing w:after="78" w:afterLines="25" w:line="300" w:lineRule="auto"/>
        <w:rPr>
          <w:rFonts w:asciiTheme="majorEastAsia" w:eastAsiaTheme="majorEastAsia" w:hAnsiTheme="majorEastAsia" w:cs="Times New Roman"/>
          <w:b/>
          <w:sz w:val="24"/>
          <w:szCs w:val="24"/>
        </w:rPr>
      </w:pPr>
      <w:r>
        <w:rPr>
          <w:rFonts w:ascii="宋体" w:eastAsia="宋体" w:hAnsi="宋体" w:cs="Times New Roman" w:hint="eastAsia"/>
          <w:b/>
          <w:color w:val="FF0000"/>
          <w:kern w:val="0"/>
          <w:sz w:val="24"/>
          <w:szCs w:val="24"/>
        </w:rPr>
        <w:t>带★号条款为不可偏离条款，如未响应或出现负偏离的，将作投标无效处理。</w:t>
      </w:r>
    </w:p>
    <w:p>
      <w:pPr>
        <w:widowControl/>
        <w:jc w:val="left"/>
        <w:rPr>
          <w:rFonts w:ascii="宋体" w:eastAsia="宋体" w:hAnsi="宋体" w:cs="Times New Roman"/>
          <w:color w:val="FF0000"/>
          <w:sz w:val="32"/>
          <w:szCs w:val="32"/>
        </w:rPr>
      </w:pPr>
      <w:r>
        <w:br w:type="page"/>
      </w:r>
    </w:p>
    <w:p>
      <w:pPr>
        <w:keepNext/>
        <w:keepLines/>
        <w:adjustRightInd w:val="0"/>
        <w:snapToGrid w:val="0"/>
        <w:spacing w:line="360" w:lineRule="auto"/>
        <w:jc w:val="center"/>
        <w:textAlignment w:val="baseline"/>
        <w:outlineLvl w:val="3"/>
        <w:rPr>
          <w:rFonts w:ascii="宋体" w:eastAsia="宋体" w:hAnsi="宋体" w:cs="Times New Roman"/>
          <w:kern w:val="0"/>
          <w:sz w:val="24"/>
          <w:szCs w:val="20"/>
        </w:rPr>
      </w:pPr>
      <w:r>
        <w:rPr>
          <w:rFonts w:ascii="宋体" w:eastAsia="宋体" w:hAnsi="宋体" w:cs="Times New Roman" w:hint="eastAsia"/>
          <w:b/>
          <w:bCs/>
          <w:kern w:val="0"/>
          <w:sz w:val="24"/>
          <w:szCs w:val="20"/>
        </w:rPr>
        <w:t>4.人员情况表</w:t>
      </w:r>
    </w:p>
    <w:tbl>
      <w:tblPr>
        <w:tblStyle w:val="TableNormal"/>
        <w:tblW w:w="9088" w:type="dxa"/>
        <w:tblInd w:w="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
      <w:tblGrid>
        <w:gridCol w:w="867"/>
        <w:gridCol w:w="1276"/>
        <w:gridCol w:w="1559"/>
        <w:gridCol w:w="2126"/>
        <w:gridCol w:w="3260"/>
      </w:tblGrid>
      <w:tr>
        <w:tblPrEx>
          <w:tblW w:w="9088" w:type="dxa"/>
          <w:tblInd w:w="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Ex>
        <w:tc>
          <w:tcPr>
            <w:tcW w:w="867" w:type="dxa"/>
            <w:tcBorders>
              <w:top w:val="double" w:sz="4" w:space="0" w:color="auto"/>
              <w:left w:val="double" w:sz="4" w:space="0" w:color="auto"/>
              <w:bottom w:val="double" w:sz="4" w:space="0" w:color="auto"/>
              <w:right w:val="double" w:sz="4" w:space="0" w:color="auto"/>
            </w:tcBorders>
            <w:vAlign w:val="center"/>
          </w:tcPr>
          <w:p>
            <w:pPr>
              <w:spacing w:after="78" w:afterLines="25" w:line="300" w:lineRule="auto"/>
              <w:jc w:val="center"/>
              <w:rPr>
                <w:rFonts w:ascii="宋体" w:eastAsia="宋体" w:hAnsi="宋体" w:cs="Arial"/>
                <w:b/>
                <w:sz w:val="24"/>
                <w:szCs w:val="24"/>
              </w:rPr>
            </w:pPr>
            <w:r>
              <w:rPr>
                <w:rFonts w:ascii="宋体" w:eastAsia="宋体" w:hAnsi="宋体" w:cs="Arial" w:hint="eastAsia"/>
                <w:b/>
                <w:sz w:val="24"/>
                <w:szCs w:val="24"/>
              </w:rPr>
              <w:t>序号</w:t>
            </w:r>
          </w:p>
        </w:tc>
        <w:tc>
          <w:tcPr>
            <w:tcW w:w="1276" w:type="dxa"/>
            <w:tcBorders>
              <w:top w:val="double" w:sz="4" w:space="0" w:color="auto"/>
              <w:left w:val="double" w:sz="4" w:space="0" w:color="auto"/>
              <w:bottom w:val="double" w:sz="4" w:space="0" w:color="auto"/>
              <w:right w:val="double" w:sz="4" w:space="0" w:color="auto"/>
            </w:tcBorders>
            <w:vAlign w:val="center"/>
          </w:tcPr>
          <w:p>
            <w:pPr>
              <w:spacing w:after="78" w:afterLines="25" w:line="300" w:lineRule="auto"/>
              <w:jc w:val="center"/>
              <w:rPr>
                <w:rFonts w:ascii="宋体" w:eastAsia="宋体" w:hAnsi="宋体" w:cs="Arial"/>
                <w:b/>
                <w:sz w:val="24"/>
                <w:szCs w:val="24"/>
              </w:rPr>
            </w:pPr>
            <w:r>
              <w:rPr>
                <w:rFonts w:ascii="宋体" w:eastAsia="宋体" w:hAnsi="宋体" w:cs="Arial" w:hint="eastAsia"/>
                <w:b/>
                <w:sz w:val="24"/>
                <w:szCs w:val="24"/>
              </w:rPr>
              <w:t>职务</w:t>
            </w:r>
          </w:p>
        </w:tc>
        <w:tc>
          <w:tcPr>
            <w:tcW w:w="1559" w:type="dxa"/>
            <w:tcBorders>
              <w:top w:val="double" w:sz="4" w:space="0" w:color="auto"/>
              <w:left w:val="double" w:sz="4" w:space="0" w:color="auto"/>
              <w:bottom w:val="double" w:sz="4" w:space="0" w:color="auto"/>
              <w:right w:val="double" w:sz="4" w:space="0" w:color="auto"/>
            </w:tcBorders>
            <w:vAlign w:val="center"/>
          </w:tcPr>
          <w:p>
            <w:pPr>
              <w:spacing w:after="78" w:afterLines="25" w:line="300" w:lineRule="auto"/>
              <w:jc w:val="center"/>
              <w:rPr>
                <w:rFonts w:ascii="宋体" w:eastAsia="宋体" w:hAnsi="宋体" w:cs="Arial"/>
                <w:b/>
                <w:sz w:val="24"/>
                <w:szCs w:val="24"/>
              </w:rPr>
            </w:pPr>
            <w:r>
              <w:rPr>
                <w:rFonts w:ascii="宋体" w:eastAsia="宋体" w:hAnsi="宋体" w:cs="Arial" w:hint="eastAsia"/>
                <w:b/>
                <w:sz w:val="24"/>
                <w:szCs w:val="24"/>
              </w:rPr>
              <w:t>姓名</w:t>
            </w:r>
          </w:p>
        </w:tc>
        <w:tc>
          <w:tcPr>
            <w:tcW w:w="2126" w:type="dxa"/>
            <w:tcBorders>
              <w:top w:val="double" w:sz="4" w:space="0" w:color="auto"/>
              <w:left w:val="double" w:sz="4" w:space="0" w:color="auto"/>
              <w:bottom w:val="double" w:sz="4" w:space="0" w:color="auto"/>
              <w:right w:val="double" w:sz="4" w:space="0" w:color="auto"/>
            </w:tcBorders>
            <w:vAlign w:val="center"/>
          </w:tcPr>
          <w:p>
            <w:pPr>
              <w:spacing w:after="78" w:afterLines="25" w:line="300" w:lineRule="auto"/>
              <w:jc w:val="center"/>
              <w:rPr>
                <w:rFonts w:ascii="宋体" w:eastAsia="宋体" w:hAnsi="宋体" w:cs="Arial"/>
                <w:b/>
                <w:sz w:val="24"/>
                <w:szCs w:val="24"/>
              </w:rPr>
            </w:pPr>
            <w:r>
              <w:rPr>
                <w:rFonts w:ascii="宋体" w:eastAsia="宋体" w:hAnsi="宋体" w:cs="Arial" w:hint="eastAsia"/>
                <w:b/>
                <w:sz w:val="24"/>
                <w:szCs w:val="24"/>
              </w:rPr>
              <w:t>相关证书</w:t>
            </w:r>
          </w:p>
        </w:tc>
        <w:tc>
          <w:tcPr>
            <w:tcW w:w="3260" w:type="dxa"/>
            <w:tcBorders>
              <w:top w:val="double" w:sz="4" w:space="0" w:color="auto"/>
              <w:left w:val="double" w:sz="4" w:space="0" w:color="auto"/>
              <w:bottom w:val="double" w:sz="4" w:space="0" w:color="auto"/>
              <w:right w:val="double" w:sz="4" w:space="0" w:color="auto"/>
            </w:tcBorders>
            <w:vAlign w:val="center"/>
          </w:tcPr>
          <w:p>
            <w:pPr>
              <w:spacing w:after="78" w:afterLines="25" w:line="300" w:lineRule="auto"/>
              <w:jc w:val="center"/>
              <w:rPr>
                <w:rFonts w:ascii="宋体" w:eastAsia="宋体" w:hAnsi="宋体" w:cs="Arial"/>
                <w:b/>
                <w:sz w:val="24"/>
                <w:szCs w:val="24"/>
              </w:rPr>
            </w:pPr>
            <w:r>
              <w:rPr>
                <w:rFonts w:ascii="宋体" w:eastAsia="宋体" w:hAnsi="宋体" w:cs="Arial" w:hint="eastAsia"/>
                <w:b/>
                <w:sz w:val="24"/>
                <w:szCs w:val="24"/>
              </w:rPr>
              <w:t>相关经验</w:t>
            </w:r>
          </w:p>
        </w:tc>
      </w:tr>
      <w:tr>
        <w:tblPrEx>
          <w:tblW w:w="9088" w:type="dxa"/>
          <w:tblInd w:w="92" w:type="dxa"/>
          <w:tblLayout w:type="fixed"/>
          <w:tblCellMar>
            <w:top w:w="0" w:type="dxa"/>
            <w:left w:w="108" w:type="dxa"/>
            <w:bottom w:w="0" w:type="dxa"/>
            <w:right w:w="108" w:type="dxa"/>
          </w:tblCellMar>
        </w:tblPrEx>
        <w:trPr>
          <w:trHeight w:val="320"/>
        </w:trPr>
        <w:tc>
          <w:tcPr>
            <w:tcW w:w="867" w:type="dxa"/>
            <w:tcBorders>
              <w:top w:val="double" w:sz="4" w:space="0" w:color="auto"/>
              <w:left w:val="double" w:sz="4" w:space="0" w:color="auto"/>
              <w:bottom w:val="double" w:sz="4" w:space="0" w:color="auto"/>
              <w:right w:val="double" w:sz="4" w:space="0" w:color="auto"/>
            </w:tcBorders>
          </w:tcPr>
          <w:p>
            <w:pPr>
              <w:spacing w:after="78" w:afterLines="25" w:line="300" w:lineRule="auto"/>
              <w:rPr>
                <w:rFonts w:ascii="宋体" w:eastAsia="宋体" w:hAnsi="宋体" w:cs="Arial"/>
                <w:sz w:val="24"/>
                <w:szCs w:val="24"/>
              </w:rPr>
            </w:pPr>
          </w:p>
        </w:tc>
        <w:tc>
          <w:tcPr>
            <w:tcW w:w="1276" w:type="dxa"/>
            <w:tcBorders>
              <w:top w:val="double" w:sz="4" w:space="0" w:color="auto"/>
              <w:left w:val="double" w:sz="4" w:space="0" w:color="auto"/>
              <w:bottom w:val="double" w:sz="4" w:space="0" w:color="auto"/>
              <w:right w:val="double" w:sz="4" w:space="0" w:color="auto"/>
            </w:tcBorders>
          </w:tcPr>
          <w:p>
            <w:pPr>
              <w:spacing w:after="78" w:afterLines="25" w:line="300" w:lineRule="auto"/>
              <w:rPr>
                <w:rFonts w:ascii="宋体" w:eastAsia="宋体" w:hAnsi="宋体" w:cs="Arial"/>
                <w:sz w:val="24"/>
                <w:szCs w:val="24"/>
              </w:rPr>
            </w:pPr>
          </w:p>
        </w:tc>
        <w:tc>
          <w:tcPr>
            <w:tcW w:w="1559" w:type="dxa"/>
            <w:tcBorders>
              <w:top w:val="double" w:sz="4" w:space="0" w:color="auto"/>
              <w:left w:val="double" w:sz="4" w:space="0" w:color="auto"/>
              <w:bottom w:val="double" w:sz="4" w:space="0" w:color="auto"/>
              <w:right w:val="double" w:sz="4" w:space="0" w:color="auto"/>
            </w:tcBorders>
          </w:tcPr>
          <w:p>
            <w:pPr>
              <w:spacing w:after="78" w:afterLines="25" w:line="300" w:lineRule="auto"/>
              <w:rPr>
                <w:rFonts w:ascii="宋体" w:eastAsia="宋体" w:hAnsi="宋体" w:cs="Arial"/>
                <w:sz w:val="24"/>
                <w:szCs w:val="24"/>
              </w:rPr>
            </w:pPr>
          </w:p>
        </w:tc>
        <w:tc>
          <w:tcPr>
            <w:tcW w:w="2126" w:type="dxa"/>
            <w:tcBorders>
              <w:top w:val="double" w:sz="4" w:space="0" w:color="auto"/>
              <w:left w:val="double" w:sz="4" w:space="0" w:color="auto"/>
              <w:bottom w:val="double" w:sz="4" w:space="0" w:color="auto"/>
              <w:right w:val="double" w:sz="4" w:space="0" w:color="auto"/>
            </w:tcBorders>
          </w:tcPr>
          <w:p>
            <w:pPr>
              <w:spacing w:after="78" w:afterLines="25" w:line="300" w:lineRule="auto"/>
              <w:rPr>
                <w:rFonts w:ascii="宋体" w:eastAsia="宋体" w:hAnsi="宋体" w:cs="Arial"/>
                <w:sz w:val="24"/>
                <w:szCs w:val="24"/>
              </w:rPr>
            </w:pPr>
          </w:p>
        </w:tc>
        <w:tc>
          <w:tcPr>
            <w:tcW w:w="3260" w:type="dxa"/>
            <w:tcBorders>
              <w:top w:val="double" w:sz="4" w:space="0" w:color="auto"/>
              <w:left w:val="double" w:sz="4" w:space="0" w:color="auto"/>
              <w:bottom w:val="double" w:sz="4" w:space="0" w:color="auto"/>
              <w:right w:val="double" w:sz="4" w:space="0" w:color="auto"/>
            </w:tcBorders>
          </w:tcPr>
          <w:p>
            <w:pPr>
              <w:spacing w:after="78" w:afterLines="25" w:line="300" w:lineRule="auto"/>
              <w:rPr>
                <w:rFonts w:ascii="宋体" w:eastAsia="宋体" w:hAnsi="宋体" w:cs="Arial"/>
                <w:sz w:val="24"/>
                <w:szCs w:val="24"/>
              </w:rPr>
            </w:pPr>
          </w:p>
        </w:tc>
      </w:tr>
      <w:tr>
        <w:tblPrEx>
          <w:tblW w:w="9088" w:type="dxa"/>
          <w:tblInd w:w="92" w:type="dxa"/>
          <w:tblLayout w:type="fixed"/>
          <w:tblCellMar>
            <w:top w:w="0" w:type="dxa"/>
            <w:left w:w="108" w:type="dxa"/>
            <w:bottom w:w="0" w:type="dxa"/>
            <w:right w:w="108" w:type="dxa"/>
          </w:tblCellMar>
        </w:tblPrEx>
        <w:trPr>
          <w:trHeight w:val="320"/>
        </w:trPr>
        <w:tc>
          <w:tcPr>
            <w:tcW w:w="867" w:type="dxa"/>
            <w:tcBorders>
              <w:top w:val="double" w:sz="4" w:space="0" w:color="auto"/>
              <w:left w:val="double" w:sz="4" w:space="0" w:color="auto"/>
              <w:bottom w:val="double" w:sz="4" w:space="0" w:color="auto"/>
              <w:right w:val="double" w:sz="4" w:space="0" w:color="auto"/>
            </w:tcBorders>
          </w:tcPr>
          <w:p>
            <w:pPr>
              <w:spacing w:after="78" w:afterLines="25" w:line="300" w:lineRule="auto"/>
              <w:rPr>
                <w:rFonts w:ascii="宋体" w:eastAsia="宋体" w:hAnsi="宋体" w:cs="Arial"/>
                <w:sz w:val="24"/>
                <w:szCs w:val="24"/>
              </w:rPr>
            </w:pPr>
          </w:p>
        </w:tc>
        <w:tc>
          <w:tcPr>
            <w:tcW w:w="1276" w:type="dxa"/>
            <w:tcBorders>
              <w:top w:val="double" w:sz="4" w:space="0" w:color="auto"/>
              <w:left w:val="double" w:sz="4" w:space="0" w:color="auto"/>
              <w:bottom w:val="double" w:sz="4" w:space="0" w:color="auto"/>
              <w:right w:val="double" w:sz="4" w:space="0" w:color="auto"/>
            </w:tcBorders>
          </w:tcPr>
          <w:p>
            <w:pPr>
              <w:spacing w:after="78" w:afterLines="25" w:line="300" w:lineRule="auto"/>
              <w:rPr>
                <w:rFonts w:ascii="宋体" w:eastAsia="宋体" w:hAnsi="宋体" w:cs="Arial"/>
                <w:sz w:val="24"/>
                <w:szCs w:val="24"/>
              </w:rPr>
            </w:pPr>
          </w:p>
        </w:tc>
        <w:tc>
          <w:tcPr>
            <w:tcW w:w="1559" w:type="dxa"/>
            <w:tcBorders>
              <w:top w:val="double" w:sz="4" w:space="0" w:color="auto"/>
              <w:left w:val="double" w:sz="4" w:space="0" w:color="auto"/>
              <w:bottom w:val="double" w:sz="4" w:space="0" w:color="auto"/>
              <w:right w:val="double" w:sz="4" w:space="0" w:color="auto"/>
            </w:tcBorders>
          </w:tcPr>
          <w:p>
            <w:pPr>
              <w:spacing w:after="78" w:afterLines="25" w:line="300" w:lineRule="auto"/>
              <w:rPr>
                <w:rFonts w:ascii="宋体" w:eastAsia="宋体" w:hAnsi="宋体" w:cs="Arial"/>
                <w:sz w:val="24"/>
                <w:szCs w:val="24"/>
              </w:rPr>
            </w:pPr>
          </w:p>
        </w:tc>
        <w:tc>
          <w:tcPr>
            <w:tcW w:w="2126" w:type="dxa"/>
            <w:tcBorders>
              <w:top w:val="double" w:sz="4" w:space="0" w:color="auto"/>
              <w:left w:val="double" w:sz="4" w:space="0" w:color="auto"/>
              <w:bottom w:val="double" w:sz="4" w:space="0" w:color="auto"/>
              <w:right w:val="double" w:sz="4" w:space="0" w:color="auto"/>
            </w:tcBorders>
          </w:tcPr>
          <w:p>
            <w:pPr>
              <w:spacing w:after="78" w:afterLines="25" w:line="300" w:lineRule="auto"/>
              <w:rPr>
                <w:rFonts w:ascii="宋体" w:eastAsia="宋体" w:hAnsi="宋体" w:cs="Arial"/>
                <w:sz w:val="24"/>
                <w:szCs w:val="24"/>
              </w:rPr>
            </w:pPr>
          </w:p>
        </w:tc>
        <w:tc>
          <w:tcPr>
            <w:tcW w:w="3260" w:type="dxa"/>
            <w:tcBorders>
              <w:top w:val="double" w:sz="4" w:space="0" w:color="auto"/>
              <w:left w:val="double" w:sz="4" w:space="0" w:color="auto"/>
              <w:bottom w:val="double" w:sz="4" w:space="0" w:color="auto"/>
              <w:right w:val="double" w:sz="4" w:space="0" w:color="auto"/>
            </w:tcBorders>
          </w:tcPr>
          <w:p>
            <w:pPr>
              <w:spacing w:after="78" w:afterLines="25" w:line="300" w:lineRule="auto"/>
              <w:rPr>
                <w:rFonts w:ascii="宋体" w:eastAsia="宋体" w:hAnsi="宋体" w:cs="Arial"/>
                <w:sz w:val="24"/>
                <w:szCs w:val="24"/>
              </w:rPr>
            </w:pPr>
          </w:p>
        </w:tc>
      </w:tr>
      <w:tr>
        <w:tblPrEx>
          <w:tblW w:w="9088" w:type="dxa"/>
          <w:tblInd w:w="92" w:type="dxa"/>
          <w:tblLayout w:type="fixed"/>
          <w:tblCellMar>
            <w:top w:w="0" w:type="dxa"/>
            <w:left w:w="108" w:type="dxa"/>
            <w:bottom w:w="0" w:type="dxa"/>
            <w:right w:w="108" w:type="dxa"/>
          </w:tblCellMar>
        </w:tblPrEx>
        <w:trPr>
          <w:trHeight w:val="320"/>
        </w:trPr>
        <w:tc>
          <w:tcPr>
            <w:tcW w:w="867" w:type="dxa"/>
            <w:tcBorders>
              <w:top w:val="double" w:sz="4" w:space="0" w:color="auto"/>
              <w:left w:val="double" w:sz="4" w:space="0" w:color="auto"/>
              <w:bottom w:val="double" w:sz="4" w:space="0" w:color="auto"/>
              <w:right w:val="double" w:sz="4" w:space="0" w:color="auto"/>
            </w:tcBorders>
          </w:tcPr>
          <w:p>
            <w:pPr>
              <w:spacing w:after="78" w:afterLines="25" w:line="300" w:lineRule="auto"/>
              <w:rPr>
                <w:rFonts w:ascii="宋体" w:eastAsia="宋体" w:hAnsi="宋体" w:cs="Arial"/>
                <w:sz w:val="24"/>
                <w:szCs w:val="24"/>
              </w:rPr>
            </w:pPr>
          </w:p>
        </w:tc>
        <w:tc>
          <w:tcPr>
            <w:tcW w:w="1276" w:type="dxa"/>
            <w:tcBorders>
              <w:top w:val="double" w:sz="4" w:space="0" w:color="auto"/>
              <w:left w:val="double" w:sz="4" w:space="0" w:color="auto"/>
              <w:bottom w:val="double" w:sz="4" w:space="0" w:color="auto"/>
              <w:right w:val="double" w:sz="4" w:space="0" w:color="auto"/>
            </w:tcBorders>
          </w:tcPr>
          <w:p>
            <w:pPr>
              <w:spacing w:after="78" w:afterLines="25" w:line="300" w:lineRule="auto"/>
              <w:rPr>
                <w:rFonts w:ascii="宋体" w:eastAsia="宋体" w:hAnsi="宋体" w:cs="Arial"/>
                <w:sz w:val="24"/>
                <w:szCs w:val="24"/>
              </w:rPr>
            </w:pPr>
          </w:p>
        </w:tc>
        <w:tc>
          <w:tcPr>
            <w:tcW w:w="1559" w:type="dxa"/>
            <w:tcBorders>
              <w:top w:val="double" w:sz="4" w:space="0" w:color="auto"/>
              <w:left w:val="double" w:sz="4" w:space="0" w:color="auto"/>
              <w:bottom w:val="double" w:sz="4" w:space="0" w:color="auto"/>
              <w:right w:val="double" w:sz="4" w:space="0" w:color="auto"/>
            </w:tcBorders>
          </w:tcPr>
          <w:p>
            <w:pPr>
              <w:spacing w:after="78" w:afterLines="25" w:line="300" w:lineRule="auto"/>
              <w:rPr>
                <w:rFonts w:ascii="宋体" w:eastAsia="宋体" w:hAnsi="宋体" w:cs="Arial"/>
                <w:sz w:val="24"/>
                <w:szCs w:val="24"/>
              </w:rPr>
            </w:pPr>
          </w:p>
        </w:tc>
        <w:tc>
          <w:tcPr>
            <w:tcW w:w="2126" w:type="dxa"/>
            <w:tcBorders>
              <w:top w:val="double" w:sz="4" w:space="0" w:color="auto"/>
              <w:left w:val="double" w:sz="4" w:space="0" w:color="auto"/>
              <w:bottom w:val="double" w:sz="4" w:space="0" w:color="auto"/>
              <w:right w:val="double" w:sz="4" w:space="0" w:color="auto"/>
            </w:tcBorders>
          </w:tcPr>
          <w:p>
            <w:pPr>
              <w:spacing w:after="78" w:afterLines="25" w:line="300" w:lineRule="auto"/>
              <w:rPr>
                <w:rFonts w:ascii="宋体" w:eastAsia="宋体" w:hAnsi="宋体" w:cs="Arial"/>
                <w:sz w:val="24"/>
                <w:szCs w:val="24"/>
              </w:rPr>
            </w:pPr>
          </w:p>
        </w:tc>
        <w:tc>
          <w:tcPr>
            <w:tcW w:w="3260" w:type="dxa"/>
            <w:tcBorders>
              <w:top w:val="double" w:sz="4" w:space="0" w:color="auto"/>
              <w:left w:val="double" w:sz="4" w:space="0" w:color="auto"/>
              <w:bottom w:val="double" w:sz="4" w:space="0" w:color="auto"/>
              <w:right w:val="double" w:sz="4" w:space="0" w:color="auto"/>
            </w:tcBorders>
          </w:tcPr>
          <w:p>
            <w:pPr>
              <w:spacing w:after="78" w:afterLines="25" w:line="300" w:lineRule="auto"/>
              <w:rPr>
                <w:rFonts w:ascii="宋体" w:eastAsia="宋体" w:hAnsi="宋体" w:cs="Arial"/>
                <w:sz w:val="24"/>
                <w:szCs w:val="24"/>
              </w:rPr>
            </w:pPr>
          </w:p>
        </w:tc>
      </w:tr>
    </w:tbl>
    <w:p>
      <w:pPr>
        <w:spacing w:after="78" w:afterLines="25" w:line="300" w:lineRule="auto"/>
        <w:rPr>
          <w:rFonts w:ascii="Arial" w:eastAsia="宋体" w:hAnsi="Arial" w:cs="Times New Roman"/>
          <w:sz w:val="24"/>
          <w:szCs w:val="24"/>
        </w:rPr>
      </w:pPr>
      <w:r>
        <w:rPr>
          <w:rFonts w:ascii="Arial" w:eastAsia="宋体" w:hAnsi="Arial" w:cs="Times New Roman" w:hint="eastAsia"/>
          <w:sz w:val="24"/>
          <w:szCs w:val="24"/>
        </w:rPr>
        <w:t>此表格式可根据评分准则要求进行调整，并将要求提供的证明材料扫描件附后。</w:t>
      </w:r>
    </w:p>
    <w:p>
      <w:pPr>
        <w:widowControl/>
        <w:jc w:val="left"/>
        <w:rPr>
          <w:rFonts w:ascii="宋体" w:eastAsia="宋体" w:hAnsi="宋体" w:cs="Times New Roman"/>
          <w:color w:val="FF0000"/>
          <w:sz w:val="32"/>
          <w:szCs w:val="32"/>
        </w:rPr>
      </w:pPr>
      <w:r>
        <w:br w:type="page"/>
      </w:r>
    </w:p>
    <w:p>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第五章  合同条款及格式</w:t>
      </w:r>
    </w:p>
    <w:p>
      <w:pPr>
        <w:widowControl/>
        <w:jc w:val="center"/>
        <w:rPr>
          <w:rFonts w:ascii="宋体" w:eastAsia="黑体" w:hAnsi="宋体" w:cs="Times New Roman"/>
          <w:bCs/>
          <w:kern w:val="44"/>
          <w:sz w:val="28"/>
          <w:szCs w:val="44"/>
        </w:rPr>
      </w:pPr>
      <w:bookmarkStart w:id="17" w:name="_Hlk72574405"/>
      <w:r>
        <w:rPr>
          <w:rFonts w:hint="eastAsia"/>
          <w:b/>
          <w:sz w:val="24"/>
        </w:rPr>
        <w:t>（仅供参考，具体以项目需求及采购结果为准）</w:t>
      </w:r>
      <w:bookmarkEnd w:id="17"/>
    </w:p>
    <w:p>
      <w:pPr>
        <w:snapToGrid w:val="0"/>
        <w:spacing w:line="300" w:lineRule="auto"/>
        <w:jc w:val="center"/>
        <w:rPr>
          <w:rFonts w:ascii="仿宋" w:eastAsia="仿宋" w:hAnsi="仿宋" w:cs="Times New Roman"/>
          <w:sz w:val="28"/>
          <w:szCs w:val="28"/>
        </w:rPr>
      </w:pPr>
    </w:p>
    <w:p>
      <w:pPr>
        <w:snapToGrid w:val="0"/>
        <w:spacing w:line="300" w:lineRule="auto"/>
        <w:rPr>
          <w:rFonts w:ascii="仿宋" w:eastAsia="仿宋" w:hAnsi="仿宋" w:cs="宋体"/>
          <w:sz w:val="28"/>
          <w:szCs w:val="28"/>
          <w:u w:val="single"/>
        </w:rPr>
      </w:pPr>
      <w:r>
        <w:rPr>
          <w:rFonts w:ascii="仿宋" w:eastAsia="仿宋" w:hAnsi="仿宋" w:cs="宋体" w:hint="eastAsia"/>
          <w:sz w:val="28"/>
          <w:szCs w:val="28"/>
        </w:rPr>
        <w:t>甲方：</w:t>
      </w:r>
      <w:r>
        <w:rPr>
          <w:rFonts w:ascii="仿宋" w:eastAsia="仿宋" w:hAnsi="仿宋" w:cs="宋体" w:hint="eastAsia"/>
          <w:sz w:val="28"/>
          <w:szCs w:val="28"/>
          <w:u w:val="single"/>
        </w:rPr>
        <w:tab/>
      </w:r>
      <w:r>
        <w:rPr>
          <w:rFonts w:ascii="仿宋" w:eastAsia="仿宋" w:hAnsi="仿宋" w:cs="宋体" w:hint="eastAsia"/>
          <w:sz w:val="28"/>
          <w:szCs w:val="28"/>
          <w:u w:val="single"/>
        </w:rPr>
        <w:tab/>
      </w:r>
      <w:r>
        <w:rPr>
          <w:rFonts w:ascii="仿宋" w:eastAsia="仿宋" w:hAnsi="仿宋" w:cs="宋体" w:hint="eastAsia"/>
          <w:sz w:val="28"/>
          <w:szCs w:val="28"/>
        </w:rPr>
        <w:t xml:space="preserve">乙方: </w:t>
      </w:r>
      <w:r>
        <w:rPr>
          <w:rFonts w:ascii="仿宋" w:eastAsia="仿宋" w:hAnsi="仿宋" w:cs="宋体" w:hint="eastAsia"/>
          <w:sz w:val="28"/>
          <w:szCs w:val="28"/>
          <w:u w:val="single"/>
        </w:rPr>
        <w:tab/>
      </w:r>
      <w:r>
        <w:rPr>
          <w:rFonts w:ascii="仿宋" w:eastAsia="仿宋" w:hAnsi="仿宋" w:cs="宋体" w:hint="eastAsia"/>
          <w:sz w:val="28"/>
          <w:szCs w:val="28"/>
          <w:u w:val="single"/>
        </w:rPr>
        <w:tab/>
      </w:r>
      <w:r>
        <w:rPr>
          <w:rFonts w:ascii="仿宋" w:eastAsia="仿宋" w:hAnsi="仿宋" w:cs="宋体" w:hint="eastAsia"/>
          <w:sz w:val="28"/>
          <w:szCs w:val="28"/>
          <w:u w:val="single"/>
        </w:rPr>
        <w:tab/>
      </w:r>
      <w:r>
        <w:rPr>
          <w:rFonts w:ascii="仿宋" w:eastAsia="仿宋" w:hAnsi="仿宋" w:cs="宋体" w:hint="eastAsia"/>
          <w:sz w:val="28"/>
          <w:szCs w:val="28"/>
          <w:u w:val="single"/>
        </w:rPr>
        <w:tab/>
      </w:r>
    </w:p>
    <w:p>
      <w:pPr>
        <w:snapToGrid w:val="0"/>
        <w:spacing w:line="300" w:lineRule="auto"/>
        <w:rPr>
          <w:rFonts w:ascii="仿宋" w:eastAsia="仿宋" w:hAnsi="仿宋" w:cs="宋体"/>
          <w:sz w:val="28"/>
          <w:szCs w:val="28"/>
        </w:rPr>
      </w:pPr>
      <w:r>
        <w:rPr>
          <w:rFonts w:ascii="仿宋" w:eastAsia="仿宋" w:hAnsi="仿宋" w:cs="宋体" w:hint="eastAsia"/>
          <w:sz w:val="28"/>
          <w:szCs w:val="28"/>
        </w:rPr>
        <w:t>住所地：住所地：</w:t>
      </w:r>
    </w:p>
    <w:p>
      <w:pPr>
        <w:snapToGrid w:val="0"/>
        <w:spacing w:line="300" w:lineRule="auto"/>
        <w:rPr>
          <w:rFonts w:ascii="仿宋" w:eastAsia="仿宋" w:hAnsi="仿宋" w:cs="宋体"/>
          <w:sz w:val="28"/>
          <w:szCs w:val="28"/>
        </w:rPr>
      </w:pPr>
      <w:r>
        <w:rPr>
          <w:rFonts w:ascii="仿宋" w:eastAsia="仿宋" w:hAnsi="仿宋" w:cs="宋体" w:hint="eastAsia"/>
          <w:sz w:val="28"/>
          <w:szCs w:val="28"/>
        </w:rPr>
        <w:t>法定代表人：法定代表人：</w:t>
      </w:r>
    </w:p>
    <w:p>
      <w:pPr>
        <w:snapToGrid w:val="0"/>
        <w:spacing w:line="300" w:lineRule="auto"/>
        <w:rPr>
          <w:rFonts w:ascii="仿宋" w:eastAsia="仿宋" w:hAnsi="仿宋" w:cs="宋体"/>
          <w:sz w:val="28"/>
          <w:szCs w:val="28"/>
        </w:rPr>
      </w:pPr>
      <w:r>
        <w:rPr>
          <w:rFonts w:ascii="仿宋" w:eastAsia="仿宋" w:hAnsi="仿宋" w:cs="宋体" w:hint="eastAsia"/>
          <w:sz w:val="28"/>
          <w:szCs w:val="28"/>
        </w:rPr>
        <w:t>联系人：</w:t>
      </w:r>
      <w:r>
        <w:rPr>
          <w:rFonts w:ascii="仿宋" w:eastAsia="仿宋" w:hAnsi="仿宋" w:cs="宋体" w:hint="eastAsia"/>
          <w:sz w:val="28"/>
          <w:szCs w:val="28"/>
          <w:u w:val="single"/>
        </w:rPr>
        <w:tab/>
      </w:r>
      <w:r>
        <w:rPr>
          <w:rFonts w:ascii="仿宋" w:eastAsia="仿宋" w:hAnsi="仿宋" w:cs="宋体" w:hint="eastAsia"/>
          <w:sz w:val="28"/>
          <w:szCs w:val="28"/>
          <w:u w:val="single"/>
        </w:rPr>
        <w:tab/>
      </w:r>
      <w:r>
        <w:rPr>
          <w:rFonts w:ascii="仿宋" w:eastAsia="仿宋" w:hAnsi="仿宋" w:cs="宋体" w:hint="eastAsia"/>
          <w:sz w:val="28"/>
          <w:szCs w:val="28"/>
        </w:rPr>
        <w:t>联系人：</w:t>
      </w:r>
    </w:p>
    <w:p>
      <w:pPr>
        <w:snapToGrid w:val="0"/>
        <w:spacing w:line="300" w:lineRule="auto"/>
        <w:rPr>
          <w:rFonts w:ascii="仿宋" w:eastAsia="仿宋" w:hAnsi="仿宋" w:cs="宋体"/>
          <w:sz w:val="28"/>
          <w:szCs w:val="28"/>
        </w:rPr>
      </w:pPr>
      <w:r>
        <w:rPr>
          <w:rFonts w:ascii="仿宋" w:eastAsia="仿宋" w:hAnsi="仿宋" w:cs="宋体" w:hint="eastAsia"/>
          <w:sz w:val="28"/>
          <w:szCs w:val="28"/>
        </w:rPr>
        <w:t>电话：</w:t>
      </w:r>
      <w:r>
        <w:rPr>
          <w:rFonts w:ascii="仿宋" w:eastAsia="仿宋" w:hAnsi="仿宋" w:cs="宋体" w:hint="eastAsia"/>
          <w:sz w:val="28"/>
          <w:szCs w:val="28"/>
          <w:u w:val="single"/>
        </w:rPr>
        <w:tab/>
      </w:r>
      <w:r>
        <w:rPr>
          <w:rFonts w:ascii="仿宋" w:eastAsia="仿宋" w:hAnsi="仿宋" w:cs="宋体" w:hint="eastAsia"/>
          <w:sz w:val="28"/>
          <w:szCs w:val="28"/>
          <w:u w:val="single"/>
        </w:rPr>
        <w:tab/>
      </w:r>
      <w:r>
        <w:rPr>
          <w:rFonts w:ascii="仿宋" w:eastAsia="仿宋" w:hAnsi="仿宋" w:cs="宋体" w:hint="eastAsia"/>
          <w:sz w:val="28"/>
          <w:szCs w:val="28"/>
        </w:rPr>
        <w:t>电话：</w:t>
      </w:r>
    </w:p>
    <w:p>
      <w:pPr>
        <w:snapToGrid w:val="0"/>
        <w:spacing w:line="300" w:lineRule="auto"/>
        <w:rPr>
          <w:rFonts w:ascii="仿宋" w:eastAsia="仿宋" w:hAnsi="仿宋" w:cs="宋体"/>
          <w:sz w:val="28"/>
          <w:szCs w:val="28"/>
        </w:rPr>
      </w:pPr>
      <w:r>
        <w:rPr>
          <w:rFonts w:ascii="仿宋" w:eastAsia="仿宋" w:hAnsi="仿宋" w:cs="宋体" w:hint="eastAsia"/>
          <w:sz w:val="28"/>
          <w:szCs w:val="28"/>
        </w:rPr>
        <w:t>传真：传真：</w:t>
      </w:r>
    </w:p>
    <w:p>
      <w:pPr>
        <w:snapToGrid w:val="0"/>
        <w:spacing w:line="300" w:lineRule="auto"/>
        <w:rPr>
          <w:rFonts w:ascii="仿宋" w:eastAsia="仿宋" w:hAnsi="仿宋" w:cs="宋体"/>
          <w:sz w:val="28"/>
          <w:szCs w:val="28"/>
        </w:rPr>
      </w:pPr>
      <w:r>
        <w:rPr>
          <w:rFonts w:ascii="仿宋" w:eastAsia="仿宋" w:hAnsi="仿宋" w:cs="宋体" w:hint="eastAsia"/>
          <w:sz w:val="28"/>
          <w:szCs w:val="28"/>
        </w:rPr>
        <w:t xml:space="preserve"> </w:t>
      </w:r>
    </w:p>
    <w:p>
      <w:pPr>
        <w:numPr>
          <w:ilvl w:val="0"/>
          <w:numId w:val="6"/>
        </w:numPr>
        <w:snapToGrid w:val="0"/>
        <w:spacing w:line="300" w:lineRule="auto"/>
        <w:rPr>
          <w:rFonts w:ascii="仿宋" w:eastAsia="仿宋" w:hAnsi="仿宋" w:cs="宋体"/>
          <w:b/>
          <w:sz w:val="28"/>
          <w:szCs w:val="28"/>
        </w:rPr>
      </w:pPr>
      <w:r>
        <w:rPr>
          <w:rFonts w:ascii="仿宋" w:eastAsia="仿宋" w:hAnsi="仿宋" w:cs="宋体" w:hint="eastAsia"/>
          <w:b/>
          <w:sz w:val="28"/>
          <w:szCs w:val="28"/>
        </w:rPr>
        <w:t>项目基本情况</w:t>
      </w:r>
    </w:p>
    <w:p>
      <w:pPr>
        <w:snapToGrid w:val="0"/>
        <w:spacing w:line="300" w:lineRule="auto"/>
        <w:ind w:firstLine="555"/>
        <w:rPr>
          <w:rFonts w:ascii="仿宋" w:eastAsia="仿宋" w:hAnsi="仿宋" w:cs="宋体"/>
          <w:sz w:val="28"/>
          <w:szCs w:val="28"/>
        </w:rPr>
      </w:pPr>
      <w:r>
        <w:rPr>
          <w:rFonts w:ascii="仿宋" w:eastAsia="仿宋" w:hAnsi="仿宋" w:cs="宋体" w:hint="eastAsia"/>
          <w:sz w:val="28"/>
          <w:szCs w:val="28"/>
        </w:rPr>
        <w:t>根据深圳公共资源交易中心（深圳交易集团有限公司宝安分公司）</w:t>
      </w:r>
    </w:p>
    <w:p>
      <w:pPr>
        <w:snapToGrid w:val="0"/>
        <w:spacing w:line="300" w:lineRule="auto"/>
        <w:rPr>
          <w:rFonts w:ascii="仿宋" w:eastAsia="仿宋" w:hAnsi="仿宋" w:cs="宋体"/>
          <w:sz w:val="28"/>
          <w:szCs w:val="28"/>
        </w:rPr>
      </w:pPr>
      <w:r>
        <w:rPr>
          <w:rFonts w:ascii="仿宋" w:eastAsia="仿宋" w:hAnsi="仿宋" w:cs="宋体" w:hint="eastAsia"/>
          <w:sz w:val="28"/>
          <w:szCs w:val="28"/>
        </w:rPr>
        <w:t>项目（招标编号：BACG）结果，为中标人。按照《中华人民共和国民法典》（第三编 合同）》和《深圳经济特区政府采购条例》，经（以下简称甲方）和（以下简称乙方）协商，达成本合同条款。</w:t>
      </w:r>
    </w:p>
    <w:p>
      <w:pPr>
        <w:snapToGrid w:val="0"/>
        <w:spacing w:line="300" w:lineRule="auto"/>
        <w:rPr>
          <w:rFonts w:ascii="仿宋" w:eastAsia="仿宋" w:hAnsi="仿宋" w:cs="宋体"/>
          <w:sz w:val="28"/>
          <w:szCs w:val="28"/>
        </w:rPr>
      </w:pPr>
      <w:r>
        <w:rPr>
          <w:rFonts w:ascii="仿宋" w:eastAsia="仿宋" w:hAnsi="仿宋" w:cs="宋体" w:hint="eastAsia"/>
          <w:b/>
          <w:sz w:val="28"/>
          <w:szCs w:val="28"/>
        </w:rPr>
        <w:t>第二条 合同标的内容（标的数量或质量等）</w:t>
      </w:r>
    </w:p>
    <w:p>
      <w:pPr>
        <w:snapToGrid w:val="0"/>
        <w:spacing w:line="300" w:lineRule="auto"/>
        <w:rPr>
          <w:rFonts w:ascii="仿宋" w:eastAsia="仿宋" w:hAnsi="仿宋" w:cs="宋体"/>
          <w:b/>
          <w:sz w:val="28"/>
          <w:szCs w:val="28"/>
        </w:rPr>
      </w:pPr>
      <w:r>
        <w:rPr>
          <w:rFonts w:ascii="仿宋" w:eastAsia="仿宋" w:hAnsi="仿宋" w:cs="宋体" w:hint="eastAsia"/>
          <w:b/>
          <w:sz w:val="28"/>
          <w:szCs w:val="28"/>
        </w:rPr>
        <w:t>第三条 合同价款（金额）</w:t>
      </w:r>
    </w:p>
    <w:p>
      <w:pPr>
        <w:snapToGrid w:val="0"/>
        <w:spacing w:line="300" w:lineRule="auto"/>
        <w:rPr>
          <w:rFonts w:ascii="仿宋" w:eastAsia="仿宋" w:hAnsi="仿宋" w:cs="宋体"/>
          <w:b/>
          <w:sz w:val="28"/>
          <w:szCs w:val="28"/>
        </w:rPr>
      </w:pPr>
      <w:r>
        <w:rPr>
          <w:rFonts w:ascii="仿宋" w:eastAsia="仿宋" w:hAnsi="仿宋" w:cs="宋体" w:hint="eastAsia"/>
          <w:b/>
          <w:sz w:val="28"/>
          <w:szCs w:val="28"/>
        </w:rPr>
        <w:t>第四条 项目履约（交付、交货）地点</w:t>
      </w:r>
    </w:p>
    <w:p>
      <w:pPr>
        <w:snapToGrid w:val="0"/>
        <w:spacing w:line="300" w:lineRule="auto"/>
        <w:ind w:left="-1" w:firstLine="420" w:firstLineChars="200"/>
        <w:rPr>
          <w:rFonts w:ascii="仿宋" w:eastAsia="仿宋" w:hAnsi="仿宋" w:cs="宋体"/>
          <w:sz w:val="28"/>
          <w:szCs w:val="28"/>
        </w:rPr>
      </w:pPr>
      <w:r>
        <w:rPr>
          <w:rFonts w:ascii="仿宋" w:eastAsia="仿宋" w:hAnsi="仿宋" w:cs="宋体" w:hint="eastAsia"/>
          <w:sz w:val="28"/>
          <w:szCs w:val="28"/>
        </w:rPr>
        <w:t>深圳市宝安区。</w:t>
      </w:r>
    </w:p>
    <w:p>
      <w:pPr>
        <w:snapToGrid w:val="0"/>
        <w:spacing w:line="300" w:lineRule="auto"/>
        <w:rPr>
          <w:rFonts w:ascii="仿宋" w:eastAsia="仿宋" w:hAnsi="仿宋" w:cs="宋体"/>
          <w:b/>
          <w:sz w:val="28"/>
          <w:szCs w:val="28"/>
        </w:rPr>
      </w:pPr>
      <w:r>
        <w:rPr>
          <w:rFonts w:ascii="仿宋" w:eastAsia="仿宋" w:hAnsi="仿宋" w:cs="宋体" w:hint="eastAsia"/>
          <w:b/>
          <w:sz w:val="28"/>
          <w:szCs w:val="28"/>
        </w:rPr>
        <w:t>第五条 项目服务期（完工期、履约时间、交货时间）</w:t>
      </w:r>
    </w:p>
    <w:p>
      <w:pPr>
        <w:snapToGrid w:val="0"/>
        <w:spacing w:line="300" w:lineRule="auto"/>
        <w:ind w:left="-1" w:firstLine="420" w:firstLineChars="200"/>
        <w:rPr>
          <w:rFonts w:ascii="仿宋" w:eastAsia="仿宋" w:hAnsi="仿宋" w:cs="宋体"/>
          <w:sz w:val="28"/>
          <w:szCs w:val="28"/>
        </w:rPr>
      </w:pPr>
      <w:r>
        <w:rPr>
          <w:rFonts w:ascii="仿宋" w:eastAsia="仿宋" w:hAnsi="仿宋" w:cs="宋体" w:hint="eastAsia"/>
          <w:sz w:val="28"/>
          <w:szCs w:val="28"/>
        </w:rPr>
        <w:t>（具体按本项目需求与投标人承诺内容拟定）</w:t>
      </w:r>
    </w:p>
    <w:p>
      <w:pPr>
        <w:snapToGrid w:val="0"/>
        <w:spacing w:line="300" w:lineRule="auto"/>
        <w:rPr>
          <w:rFonts w:ascii="仿宋" w:eastAsia="仿宋" w:hAnsi="仿宋" w:cs="宋体"/>
          <w:b/>
          <w:sz w:val="28"/>
          <w:szCs w:val="28"/>
        </w:rPr>
      </w:pPr>
      <w:r>
        <w:rPr>
          <w:rFonts w:ascii="仿宋" w:eastAsia="仿宋" w:hAnsi="仿宋" w:cs="宋体" w:hint="eastAsia"/>
          <w:b/>
          <w:sz w:val="28"/>
          <w:szCs w:val="28"/>
        </w:rPr>
        <w:t>第六条 付款期限及方式</w:t>
      </w:r>
    </w:p>
    <w:p>
      <w:pPr>
        <w:snapToGrid w:val="0"/>
        <w:spacing w:line="300" w:lineRule="auto"/>
        <w:ind w:left="-1" w:firstLine="420" w:firstLineChars="200"/>
        <w:rPr>
          <w:rFonts w:ascii="仿宋" w:eastAsia="仿宋" w:hAnsi="仿宋" w:cs="宋体"/>
          <w:sz w:val="28"/>
          <w:szCs w:val="28"/>
        </w:rPr>
      </w:pPr>
      <w:r>
        <w:rPr>
          <w:rFonts w:ascii="仿宋" w:eastAsia="仿宋" w:hAnsi="仿宋" w:cs="宋体" w:hint="eastAsia"/>
          <w:sz w:val="28"/>
          <w:szCs w:val="28"/>
        </w:rPr>
        <w:t>（具体按本项目需求与投标人承诺内容拟定）</w:t>
      </w:r>
    </w:p>
    <w:p>
      <w:pPr>
        <w:snapToGrid w:val="0"/>
        <w:spacing w:line="300" w:lineRule="auto"/>
        <w:rPr>
          <w:rFonts w:ascii="仿宋" w:eastAsia="仿宋" w:hAnsi="仿宋" w:cs="宋体"/>
          <w:b/>
          <w:sz w:val="28"/>
          <w:szCs w:val="28"/>
        </w:rPr>
      </w:pPr>
      <w:r>
        <w:rPr>
          <w:rFonts w:ascii="仿宋" w:eastAsia="仿宋" w:hAnsi="仿宋" w:cs="宋体" w:hint="eastAsia"/>
          <w:b/>
          <w:sz w:val="28"/>
          <w:szCs w:val="28"/>
        </w:rPr>
        <w:t>第七条 项目验收标准及方式</w:t>
      </w:r>
    </w:p>
    <w:p>
      <w:pPr>
        <w:snapToGrid w:val="0"/>
        <w:spacing w:line="300" w:lineRule="auto"/>
        <w:ind w:left="-1" w:firstLine="420" w:firstLineChars="200"/>
        <w:rPr>
          <w:rFonts w:ascii="仿宋" w:eastAsia="仿宋" w:hAnsi="仿宋" w:cs="宋体"/>
          <w:sz w:val="28"/>
          <w:szCs w:val="28"/>
        </w:rPr>
      </w:pPr>
      <w:r>
        <w:rPr>
          <w:rFonts w:ascii="仿宋" w:eastAsia="仿宋" w:hAnsi="仿宋" w:cs="宋体" w:hint="eastAsia"/>
          <w:sz w:val="28"/>
          <w:szCs w:val="28"/>
        </w:rPr>
        <w:t>（具体按本项目需求与投标人承诺内容拟定）</w:t>
      </w:r>
    </w:p>
    <w:p>
      <w:pPr>
        <w:snapToGrid w:val="0"/>
        <w:spacing w:line="300" w:lineRule="auto"/>
        <w:rPr>
          <w:rFonts w:ascii="仿宋" w:eastAsia="仿宋" w:hAnsi="仿宋" w:cs="宋体"/>
          <w:b/>
          <w:sz w:val="28"/>
          <w:szCs w:val="28"/>
        </w:rPr>
      </w:pPr>
      <w:r>
        <w:rPr>
          <w:rFonts w:ascii="仿宋" w:eastAsia="仿宋" w:hAnsi="仿宋" w:cs="宋体" w:hint="eastAsia"/>
          <w:b/>
          <w:sz w:val="28"/>
          <w:szCs w:val="28"/>
        </w:rPr>
        <w:t>第八条 甲方的权利和义务</w:t>
      </w:r>
    </w:p>
    <w:p>
      <w:pPr>
        <w:snapToGrid w:val="0"/>
        <w:spacing w:line="300" w:lineRule="auto"/>
        <w:rPr>
          <w:rFonts w:ascii="仿宋" w:eastAsia="仿宋" w:hAnsi="仿宋" w:cs="宋体"/>
          <w:b/>
          <w:sz w:val="28"/>
          <w:szCs w:val="28"/>
        </w:rPr>
      </w:pPr>
      <w:r>
        <w:rPr>
          <w:rFonts w:ascii="仿宋" w:eastAsia="仿宋" w:hAnsi="仿宋" w:cs="宋体" w:hint="eastAsia"/>
          <w:b/>
          <w:sz w:val="28"/>
          <w:szCs w:val="28"/>
        </w:rPr>
        <w:t>第九条 乙方的权利和义务</w:t>
      </w:r>
    </w:p>
    <w:p>
      <w:pPr>
        <w:snapToGrid w:val="0"/>
        <w:spacing w:line="300" w:lineRule="auto"/>
        <w:rPr>
          <w:rFonts w:ascii="仿宋" w:eastAsia="仿宋" w:hAnsi="仿宋" w:cs="宋体"/>
          <w:b/>
          <w:sz w:val="28"/>
          <w:szCs w:val="28"/>
        </w:rPr>
      </w:pPr>
      <w:r>
        <w:rPr>
          <w:rFonts w:ascii="仿宋" w:eastAsia="仿宋" w:hAnsi="仿宋" w:cs="宋体" w:hint="eastAsia"/>
          <w:b/>
          <w:sz w:val="28"/>
          <w:szCs w:val="28"/>
        </w:rPr>
        <w:t>第十条 违约责任与争议解决办法</w:t>
      </w:r>
    </w:p>
    <w:p>
      <w:pPr>
        <w:snapToGrid w:val="0"/>
        <w:spacing w:line="300" w:lineRule="auto"/>
        <w:ind w:firstLine="420" w:firstLineChars="200"/>
        <w:rPr>
          <w:rFonts w:ascii="仿宋" w:eastAsia="仿宋" w:hAnsi="仿宋" w:cs="宋体"/>
          <w:sz w:val="28"/>
          <w:szCs w:val="28"/>
        </w:rPr>
      </w:pPr>
      <w:r>
        <w:rPr>
          <w:rFonts w:ascii="仿宋" w:eastAsia="仿宋" w:hAnsi="仿宋" w:cs="宋体" w:hint="eastAsia"/>
          <w:sz w:val="28"/>
          <w:szCs w:val="28"/>
        </w:rPr>
        <w:t>1、合同双方之任何一方不能全面履行合同条款，均属违约。违约所造成的经济损失概由违约方承担赔偿。违约造成工期延误责任分担：甲方违约，工期相应顺延；乙方违约，工期不得顺延。</w:t>
      </w:r>
    </w:p>
    <w:p>
      <w:pPr>
        <w:snapToGrid w:val="0"/>
        <w:spacing w:line="300" w:lineRule="auto"/>
        <w:ind w:firstLine="420" w:firstLineChars="200"/>
        <w:rPr>
          <w:rFonts w:ascii="仿宋" w:eastAsia="仿宋" w:hAnsi="仿宋" w:cs="宋体"/>
          <w:sz w:val="28"/>
          <w:szCs w:val="28"/>
        </w:rPr>
      </w:pPr>
      <w:r>
        <w:rPr>
          <w:rFonts w:ascii="仿宋" w:eastAsia="仿宋" w:hAnsi="仿宋" w:cs="宋体" w:hint="eastAsia"/>
          <w:sz w:val="28"/>
          <w:szCs w:val="28"/>
        </w:rPr>
        <w:t>2、协商或仲裁：如果发生与本合同的解释或执行中的有关争议，双方首先应通过友好协商解决，否则任何一方可将该争议提交仲裁。仲裁事项应提交深圳仲裁委员会进行裁决。</w:t>
      </w:r>
    </w:p>
    <w:p>
      <w:pPr>
        <w:snapToGrid w:val="0"/>
        <w:spacing w:line="300" w:lineRule="auto"/>
        <w:rPr>
          <w:rFonts w:ascii="仿宋" w:eastAsia="仿宋" w:hAnsi="仿宋" w:cs="宋体"/>
          <w:sz w:val="28"/>
          <w:szCs w:val="28"/>
        </w:rPr>
      </w:pPr>
      <w:r>
        <w:rPr>
          <w:rFonts w:ascii="仿宋" w:eastAsia="仿宋" w:hAnsi="仿宋" w:cs="宋体" w:hint="eastAsia"/>
          <w:sz w:val="28"/>
          <w:szCs w:val="28"/>
        </w:rPr>
        <w:t>……。</w:t>
      </w:r>
    </w:p>
    <w:p>
      <w:pPr>
        <w:snapToGrid w:val="0"/>
        <w:spacing w:line="300" w:lineRule="auto"/>
        <w:rPr>
          <w:rFonts w:ascii="仿宋" w:eastAsia="仿宋" w:hAnsi="仿宋" w:cs="宋体"/>
          <w:b/>
          <w:sz w:val="28"/>
          <w:szCs w:val="28"/>
        </w:rPr>
      </w:pPr>
      <w:r>
        <w:rPr>
          <w:rFonts w:ascii="仿宋" w:eastAsia="仿宋" w:hAnsi="仿宋" w:cs="宋体" w:hint="eastAsia"/>
          <w:b/>
          <w:sz w:val="28"/>
          <w:szCs w:val="28"/>
        </w:rPr>
        <w:t>第十一条 知识产权、保密或其他事项要求</w:t>
      </w:r>
    </w:p>
    <w:p>
      <w:pPr>
        <w:snapToGrid w:val="0"/>
        <w:spacing w:line="300" w:lineRule="auto"/>
        <w:ind w:firstLine="420" w:firstLineChars="200"/>
        <w:rPr>
          <w:rFonts w:ascii="仿宋" w:eastAsia="仿宋" w:hAnsi="仿宋" w:cs="宋体"/>
          <w:sz w:val="28"/>
          <w:szCs w:val="28"/>
        </w:rPr>
      </w:pPr>
      <w:r>
        <w:rPr>
          <w:rFonts w:ascii="仿宋" w:eastAsia="仿宋" w:hAnsi="仿宋" w:cs="宋体" w:hint="eastAsia"/>
          <w:sz w:val="28"/>
          <w:szCs w:val="28"/>
        </w:rPr>
        <w:t>1、除政府采购合同继续履行将损害国家利益和社会公共利益外，双方不得擅自变更、中止或者终止合同。</w:t>
      </w:r>
    </w:p>
    <w:p>
      <w:pPr>
        <w:snapToGrid w:val="0"/>
        <w:spacing w:line="300" w:lineRule="auto"/>
        <w:ind w:firstLine="420" w:firstLineChars="200"/>
        <w:rPr>
          <w:rFonts w:ascii="仿宋" w:eastAsia="仿宋" w:hAnsi="仿宋" w:cs="宋体"/>
          <w:sz w:val="28"/>
          <w:szCs w:val="28"/>
        </w:rPr>
      </w:pPr>
      <w:r>
        <w:rPr>
          <w:rFonts w:ascii="仿宋" w:eastAsia="仿宋" w:hAnsi="仿宋" w:cs="宋体" w:hint="eastAsia"/>
          <w:sz w:val="28"/>
          <w:szCs w:val="28"/>
        </w:rPr>
        <w:t>2、乙方所提供的货物或服务未侵犯知识产权，不会产生因第三方提出的包括但不限于侵犯其专利权、商标权、工业设计权等知识产权和侵犯其所有权、抵押权等物权及其他权利而引发的纠纷。如有纠纷，乙方应承担全部责任。</w:t>
      </w:r>
    </w:p>
    <w:p>
      <w:pPr>
        <w:snapToGrid w:val="0"/>
        <w:spacing w:line="300" w:lineRule="auto"/>
        <w:rPr>
          <w:rFonts w:ascii="仿宋" w:eastAsia="仿宋" w:hAnsi="仿宋" w:cs="宋体"/>
          <w:sz w:val="28"/>
          <w:szCs w:val="28"/>
        </w:rPr>
      </w:pPr>
      <w:r>
        <w:rPr>
          <w:rFonts w:ascii="仿宋_GB2312" w:eastAsia="仿宋_GB2312" w:hAnsi="华文仿宋" w:cs="宋体" w:hint="eastAsia"/>
          <w:sz w:val="28"/>
          <w:szCs w:val="28"/>
        </w:rPr>
        <w:t>……。</w:t>
      </w:r>
    </w:p>
    <w:p>
      <w:pPr>
        <w:snapToGrid w:val="0"/>
        <w:spacing w:line="300" w:lineRule="auto"/>
        <w:rPr>
          <w:rFonts w:ascii="仿宋" w:eastAsia="仿宋" w:hAnsi="仿宋" w:cs="宋体"/>
          <w:b/>
          <w:sz w:val="28"/>
          <w:szCs w:val="28"/>
        </w:rPr>
      </w:pPr>
      <w:r>
        <w:rPr>
          <w:rFonts w:ascii="仿宋" w:eastAsia="仿宋" w:hAnsi="仿宋" w:cs="宋体" w:hint="eastAsia"/>
          <w:b/>
          <w:sz w:val="28"/>
          <w:szCs w:val="28"/>
        </w:rPr>
        <w:t>第十二条 附件（附录）</w:t>
      </w:r>
      <w:r>
        <w:rPr>
          <w:rFonts w:ascii="仿宋" w:eastAsia="仿宋" w:hAnsi="仿宋" w:cs="宋体" w:hint="eastAsia"/>
          <w:sz w:val="28"/>
          <w:szCs w:val="28"/>
        </w:rPr>
        <w:t>（如有，可填写，并附相关内容）</w:t>
      </w:r>
    </w:p>
    <w:p>
      <w:pPr>
        <w:snapToGrid w:val="0"/>
        <w:spacing w:line="300" w:lineRule="auto"/>
        <w:rPr>
          <w:rFonts w:ascii="仿宋" w:eastAsia="仿宋" w:hAnsi="仿宋" w:cs="宋体"/>
          <w:sz w:val="28"/>
          <w:szCs w:val="28"/>
        </w:rPr>
      </w:pPr>
      <w:r>
        <w:rPr>
          <w:rFonts w:ascii="仿宋" w:eastAsia="仿宋" w:hAnsi="仿宋" w:cs="宋体" w:hint="eastAsia"/>
          <w:sz w:val="28"/>
          <w:szCs w:val="28"/>
        </w:rPr>
        <w:t>……。</w:t>
      </w:r>
    </w:p>
    <w:p>
      <w:pPr>
        <w:snapToGrid w:val="0"/>
        <w:spacing w:line="300" w:lineRule="auto"/>
        <w:ind w:firstLine="200"/>
        <w:rPr>
          <w:rFonts w:ascii="仿宋" w:eastAsia="仿宋" w:hAnsi="仿宋" w:cs="宋体"/>
          <w:sz w:val="28"/>
          <w:szCs w:val="28"/>
        </w:rPr>
      </w:pPr>
      <w:r>
        <w:rPr>
          <w:rFonts w:ascii="仿宋" w:eastAsia="仿宋" w:hAnsi="仿宋" w:cs="宋体" w:hint="eastAsia"/>
          <w:sz w:val="28"/>
          <w:szCs w:val="28"/>
        </w:rPr>
        <w:t xml:space="preserve"> </w:t>
      </w:r>
    </w:p>
    <w:p>
      <w:pPr>
        <w:snapToGrid w:val="0"/>
        <w:spacing w:line="300" w:lineRule="auto"/>
        <w:ind w:firstLine="200"/>
        <w:rPr>
          <w:rFonts w:ascii="仿宋" w:eastAsia="仿宋" w:hAnsi="仿宋" w:cs="宋体"/>
          <w:sz w:val="28"/>
          <w:szCs w:val="28"/>
        </w:rPr>
      </w:pPr>
      <w:r>
        <w:rPr>
          <w:rFonts w:ascii="仿宋" w:eastAsia="仿宋" w:hAnsi="仿宋" w:cs="宋体" w:hint="eastAsia"/>
          <w:sz w:val="28"/>
          <w:szCs w:val="28"/>
        </w:rPr>
        <w:t xml:space="preserve"> </w:t>
      </w:r>
    </w:p>
    <w:p>
      <w:pPr>
        <w:snapToGrid w:val="0"/>
        <w:spacing w:line="300" w:lineRule="auto"/>
        <w:ind w:firstLine="200"/>
        <w:rPr>
          <w:rFonts w:ascii="仿宋" w:eastAsia="仿宋" w:hAnsi="仿宋" w:cs="宋体"/>
          <w:sz w:val="28"/>
          <w:szCs w:val="28"/>
        </w:rPr>
      </w:pPr>
      <w:r>
        <w:rPr>
          <w:rFonts w:ascii="仿宋" w:eastAsia="仿宋" w:hAnsi="仿宋" w:cs="宋体" w:hint="eastAsia"/>
          <w:sz w:val="28"/>
          <w:szCs w:val="28"/>
        </w:rPr>
        <w:t xml:space="preserve"> </w:t>
      </w:r>
    </w:p>
    <w:p>
      <w:pPr>
        <w:snapToGrid w:val="0"/>
        <w:spacing w:line="300" w:lineRule="auto"/>
        <w:rPr>
          <w:rFonts w:ascii="仿宋_GB2312" w:eastAsia="仿宋_GB2312" w:hAnsi="华文仿宋" w:cs="宋体"/>
          <w:sz w:val="28"/>
          <w:szCs w:val="28"/>
        </w:rPr>
      </w:pPr>
      <w:r>
        <w:rPr>
          <w:rFonts w:ascii="仿宋_GB2312" w:eastAsia="仿宋_GB2312" w:hAnsi="华文仿宋" w:cs="宋体" w:hint="eastAsia"/>
          <w:sz w:val="28"/>
          <w:szCs w:val="28"/>
        </w:rPr>
        <w:t>甲方（公章）：乙方（公章）：</w:t>
      </w:r>
    </w:p>
    <w:p>
      <w:pPr>
        <w:snapToGrid w:val="0"/>
        <w:spacing w:line="300" w:lineRule="auto"/>
        <w:rPr>
          <w:rFonts w:ascii="仿宋_GB2312" w:eastAsia="仿宋_GB2312" w:hAnsi="华文仿宋" w:cs="宋体"/>
          <w:sz w:val="28"/>
          <w:szCs w:val="28"/>
        </w:rPr>
      </w:pPr>
      <w:r>
        <w:rPr>
          <w:rFonts w:ascii="仿宋_GB2312" w:eastAsia="仿宋_GB2312" w:hAnsi="华文仿宋" w:cs="宋体" w:hint="eastAsia"/>
          <w:sz w:val="28"/>
          <w:szCs w:val="28"/>
        </w:rPr>
        <w:t>法定代表人（签章）</w:t>
      </w:r>
      <w:r>
        <w:rPr>
          <w:rFonts w:ascii="仿宋_GB2312" w:eastAsia="仿宋_GB2312" w:hAnsi="华文仿宋" w:cs="宋体" w:hint="eastAsia"/>
          <w:sz w:val="28"/>
          <w:szCs w:val="28"/>
        </w:rPr>
        <w:tab/>
      </w:r>
      <w:r>
        <w:rPr>
          <w:rFonts w:ascii="仿宋_GB2312" w:eastAsia="仿宋_GB2312" w:hAnsi="华文仿宋" w:cs="宋体" w:hint="eastAsia"/>
          <w:sz w:val="28"/>
          <w:szCs w:val="28"/>
        </w:rPr>
        <w:tab/>
      </w:r>
      <w:r>
        <w:rPr>
          <w:rFonts w:ascii="仿宋_GB2312" w:eastAsia="仿宋_GB2312" w:hAnsi="华文仿宋" w:cs="宋体" w:hint="eastAsia"/>
          <w:sz w:val="28"/>
          <w:szCs w:val="28"/>
        </w:rPr>
        <w:tab/>
      </w:r>
      <w:r>
        <w:rPr>
          <w:rFonts w:ascii="仿宋_GB2312" w:eastAsia="仿宋_GB2312" w:hAnsi="华文仿宋" w:cs="宋体" w:hint="eastAsia"/>
          <w:sz w:val="28"/>
          <w:szCs w:val="28"/>
        </w:rPr>
        <w:tab/>
      </w:r>
      <w:r>
        <w:rPr>
          <w:rFonts w:ascii="仿宋_GB2312" w:eastAsia="仿宋_GB2312" w:hAnsi="华文仿宋" w:cs="宋体" w:hint="eastAsia"/>
          <w:sz w:val="28"/>
          <w:szCs w:val="28"/>
        </w:rPr>
        <w:t>法定代表人（签章）</w:t>
      </w:r>
    </w:p>
    <w:p>
      <w:pPr>
        <w:snapToGrid w:val="0"/>
        <w:spacing w:line="300" w:lineRule="auto"/>
        <w:rPr>
          <w:rFonts w:ascii="仿宋_GB2312" w:eastAsia="仿宋_GB2312" w:hAnsi="华文仿宋" w:cs="宋体"/>
          <w:sz w:val="28"/>
          <w:szCs w:val="28"/>
        </w:rPr>
      </w:pPr>
      <w:r>
        <w:rPr>
          <w:rFonts w:ascii="仿宋_GB2312" w:eastAsia="仿宋_GB2312" w:hAnsi="华文仿宋" w:cs="宋体" w:hint="eastAsia"/>
          <w:sz w:val="28"/>
          <w:szCs w:val="28"/>
        </w:rPr>
        <w:t>或授权代表：</w:t>
      </w:r>
      <w:r>
        <w:rPr>
          <w:rFonts w:ascii="仿宋_GB2312" w:eastAsia="仿宋_GB2312" w:hAnsi="华文仿宋" w:cs="宋体" w:hint="eastAsia"/>
          <w:sz w:val="28"/>
          <w:szCs w:val="28"/>
        </w:rPr>
        <w:tab/>
      </w:r>
      <w:r>
        <w:rPr>
          <w:rFonts w:ascii="仿宋_GB2312" w:eastAsia="仿宋_GB2312" w:hAnsi="华文仿宋" w:cs="宋体" w:hint="eastAsia"/>
          <w:sz w:val="28"/>
          <w:szCs w:val="28"/>
        </w:rPr>
        <w:tab/>
      </w:r>
      <w:r>
        <w:rPr>
          <w:rFonts w:ascii="仿宋_GB2312" w:eastAsia="仿宋_GB2312" w:hAnsi="华文仿宋" w:cs="宋体" w:hint="eastAsia"/>
          <w:sz w:val="28"/>
          <w:szCs w:val="28"/>
        </w:rPr>
        <w:tab/>
      </w:r>
      <w:r>
        <w:rPr>
          <w:rFonts w:ascii="仿宋_GB2312" w:eastAsia="仿宋_GB2312" w:hAnsi="华文仿宋" w:cs="宋体" w:hint="eastAsia"/>
          <w:sz w:val="28"/>
          <w:szCs w:val="28"/>
        </w:rPr>
        <w:tab/>
      </w:r>
      <w:r>
        <w:rPr>
          <w:rFonts w:ascii="仿宋_GB2312" w:eastAsia="仿宋_GB2312" w:hAnsi="华文仿宋" w:cs="宋体" w:hint="eastAsia"/>
          <w:sz w:val="28"/>
          <w:szCs w:val="28"/>
        </w:rPr>
        <w:tab/>
      </w:r>
      <w:r>
        <w:rPr>
          <w:rFonts w:ascii="仿宋_GB2312" w:eastAsia="仿宋_GB2312" w:hAnsi="华文仿宋" w:cs="宋体" w:hint="eastAsia"/>
          <w:sz w:val="28"/>
          <w:szCs w:val="28"/>
        </w:rPr>
        <w:t>或授权代表：</w:t>
      </w:r>
    </w:p>
    <w:p>
      <w:pPr>
        <w:snapToGrid w:val="0"/>
        <w:spacing w:line="300" w:lineRule="auto"/>
        <w:rPr>
          <w:rFonts w:ascii="仿宋_GB2312" w:eastAsia="仿宋_GB2312" w:hAnsi="华文仿宋" w:cs="宋体"/>
          <w:sz w:val="28"/>
          <w:szCs w:val="28"/>
        </w:rPr>
      </w:pPr>
      <w:r>
        <w:rPr>
          <w:rFonts w:ascii="仿宋_GB2312" w:eastAsia="仿宋_GB2312" w:hAnsi="华文仿宋" w:cs="宋体" w:hint="eastAsia"/>
          <w:sz w:val="28"/>
          <w:szCs w:val="28"/>
        </w:rPr>
        <w:tab/>
      </w:r>
      <w:r>
        <w:rPr>
          <w:rFonts w:ascii="仿宋_GB2312" w:eastAsia="仿宋_GB2312" w:hAnsi="华文仿宋" w:cs="宋体" w:hint="eastAsia"/>
          <w:sz w:val="28"/>
          <w:szCs w:val="28"/>
        </w:rPr>
        <w:tab/>
      </w:r>
      <w:r>
        <w:rPr>
          <w:rFonts w:ascii="仿宋_GB2312" w:eastAsia="仿宋_GB2312" w:hAnsi="华文仿宋" w:cs="宋体" w:hint="eastAsia"/>
          <w:sz w:val="28"/>
          <w:szCs w:val="28"/>
        </w:rPr>
        <w:t xml:space="preserve">年   月   日     </w:t>
      </w:r>
      <w:r>
        <w:rPr>
          <w:rFonts w:ascii="仿宋_GB2312" w:eastAsia="仿宋_GB2312" w:hAnsi="华文仿宋" w:cs="宋体" w:hint="eastAsia"/>
          <w:sz w:val="28"/>
          <w:szCs w:val="28"/>
        </w:rPr>
        <w:tab/>
      </w:r>
      <w:r>
        <w:rPr>
          <w:rFonts w:ascii="仿宋_GB2312" w:eastAsia="仿宋_GB2312" w:hAnsi="华文仿宋" w:cs="宋体" w:hint="eastAsia"/>
          <w:sz w:val="28"/>
          <w:szCs w:val="28"/>
        </w:rPr>
        <w:tab/>
      </w:r>
      <w:r>
        <w:rPr>
          <w:rFonts w:ascii="仿宋_GB2312" w:eastAsia="仿宋_GB2312" w:hAnsi="华文仿宋" w:cs="宋体" w:hint="eastAsia"/>
          <w:sz w:val="28"/>
          <w:szCs w:val="28"/>
        </w:rPr>
        <w:tab/>
      </w:r>
      <w:r>
        <w:rPr>
          <w:rFonts w:ascii="仿宋_GB2312" w:eastAsia="仿宋_GB2312" w:hAnsi="华文仿宋" w:cs="宋体" w:hint="eastAsia"/>
          <w:sz w:val="28"/>
          <w:szCs w:val="28"/>
        </w:rPr>
        <w:tab/>
      </w:r>
      <w:r>
        <w:rPr>
          <w:rFonts w:ascii="仿宋_GB2312" w:eastAsia="仿宋_GB2312" w:hAnsi="华文仿宋" w:cs="宋体" w:hint="eastAsia"/>
          <w:sz w:val="28"/>
          <w:szCs w:val="28"/>
        </w:rPr>
        <w:tab/>
      </w:r>
      <w:r>
        <w:rPr>
          <w:rFonts w:ascii="仿宋_GB2312" w:eastAsia="仿宋_GB2312" w:hAnsi="华文仿宋" w:cs="宋体" w:hint="eastAsia"/>
          <w:sz w:val="28"/>
          <w:szCs w:val="28"/>
        </w:rPr>
        <w:t>年   月   日</w:t>
      </w:r>
    </w:p>
    <w:p>
      <w:pPr>
        <w:widowControl/>
        <w:jc w:val="left"/>
        <w:rPr>
          <w:rFonts w:ascii="Arial" w:eastAsia="仿宋" w:hAnsi="Arial" w:cs="Arial"/>
          <w:color w:val="FF0000"/>
          <w:szCs w:val="21"/>
        </w:rPr>
      </w:pPr>
      <w:r>
        <w:rPr>
          <w:rFonts w:ascii="Arial" w:eastAsia="仿宋" w:hAnsi="Arial" w:cs="Arial"/>
          <w:color w:val="FF0000"/>
          <w:szCs w:val="21"/>
        </w:rPr>
        <w:t xml:space="preserve"> </w:t>
      </w:r>
    </w:p>
    <w:p>
      <w:pPr>
        <w:widowControl/>
        <w:jc w:val="left"/>
        <w:rPr>
          <w:rFonts w:ascii="Arial" w:eastAsia="宋体" w:hAnsi="Arial" w:cs="Times New Roman"/>
          <w:color w:val="FF0000"/>
          <w:szCs w:val="24"/>
        </w:rPr>
      </w:pPr>
    </w:p>
    <w:p>
      <w:pPr>
        <w:widowControl/>
        <w:jc w:val="left"/>
        <w:rPr>
          <w:b/>
          <w:color w:val="FF0000"/>
          <w:sz w:val="52"/>
          <w:szCs w:val="52"/>
        </w:rPr>
      </w:pPr>
      <w:r>
        <w:br w:type="page"/>
      </w:r>
    </w:p>
    <w:p>
      <w:pPr>
        <w:keepNext/>
        <w:keepLines/>
        <w:spacing w:before="340" w:after="78" w:afterLines="25" w:line="578" w:lineRule="auto"/>
        <w:jc w:val="center"/>
        <w:outlineLvl w:val="0"/>
        <w:rPr>
          <w:rFonts w:ascii="Arial" w:eastAsia="宋体" w:hAnsi="Arial" w:cs="Times New Roman"/>
          <w:b/>
          <w:bCs/>
          <w:kern w:val="44"/>
          <w:sz w:val="32"/>
          <w:szCs w:val="32"/>
        </w:rPr>
      </w:pPr>
      <w:r>
        <w:rPr>
          <w:rFonts w:ascii="Arial" w:eastAsia="宋体" w:hAnsi="Arial" w:cs="Times New Roman" w:hint="eastAsia"/>
          <w:b/>
          <w:bCs/>
          <w:kern w:val="44"/>
          <w:sz w:val="32"/>
          <w:szCs w:val="32"/>
        </w:rPr>
        <w:t>第二册通用条款（公开招标）</w:t>
      </w:r>
    </w:p>
    <w:p>
      <w:pPr>
        <w:keepNext/>
        <w:keepLines/>
        <w:numPr>
          <w:ilvl w:val="0"/>
          <w:numId w:val="7"/>
        </w:numPr>
        <w:adjustRightInd w:val="0"/>
        <w:spacing w:before="156" w:beforeLines="50" w:after="156" w:afterLines="50"/>
        <w:ind w:left="562" w:hanging="562"/>
        <w:jc w:val="center"/>
        <w:textAlignment w:val="baseline"/>
        <w:outlineLvl w:val="1"/>
        <w:rPr>
          <w:rFonts w:asciiTheme="majorHAnsi" w:eastAsiaTheme="majorEastAsia" w:hAnsiTheme="majorHAnsi" w:cstheme="majorBidi"/>
          <w:b/>
          <w:bCs/>
          <w:sz w:val="28"/>
          <w:szCs w:val="28"/>
        </w:rPr>
      </w:pPr>
      <w:bookmarkStart w:id="18" w:name="_Hlk72399513"/>
      <w:r>
        <w:rPr>
          <w:rFonts w:asciiTheme="majorHAnsi" w:eastAsiaTheme="majorEastAsia" w:hAnsiTheme="majorHAnsi" w:cstheme="majorBidi" w:hint="eastAsia"/>
          <w:b/>
          <w:bCs/>
          <w:sz w:val="28"/>
          <w:szCs w:val="28"/>
        </w:rPr>
        <w:t>总则</w:t>
      </w:r>
      <w:bookmarkEnd w:id="18"/>
    </w:p>
    <w:p>
      <w:pPr>
        <w:rPr>
          <w:rFonts w:ascii="黑体" w:eastAsia="黑体" w:hAnsi="宋体" w:cs="Times New Roman"/>
          <w:sz w:val="24"/>
          <w:szCs w:val="24"/>
        </w:rPr>
      </w:pPr>
      <w:r>
        <w:rPr>
          <w:rFonts w:ascii="黑体" w:eastAsia="黑体" w:hAnsi="宋体" w:cs="Times New Roman" w:hint="eastAsia"/>
          <w:sz w:val="24"/>
          <w:szCs w:val="24"/>
        </w:rPr>
        <w:t>1. 通用条款说明</w:t>
      </w:r>
    </w:p>
    <w:p>
      <w:pPr>
        <w:ind w:firstLine="412" w:firstLineChars="196"/>
        <w:rPr>
          <w:rFonts w:ascii="宋体" w:eastAsia="宋体" w:hAnsi="宋体" w:cs="Times New Roman"/>
          <w:szCs w:val="21"/>
        </w:rPr>
      </w:pPr>
      <w:r>
        <w:rPr>
          <w:rFonts w:ascii="宋体" w:eastAsia="宋体" w:hAnsi="宋体" w:cs="Times New Roman" w:hint="eastAsia"/>
          <w:szCs w:val="21"/>
        </w:rPr>
        <w:t>1.1政府集中采购机构发出招标文件通用条款版本，列出深圳市政府采购项目进行招标采购所适用的通用条款内容。</w:t>
      </w:r>
      <w:bookmarkStart w:id="19" w:name="_Hlk72399729"/>
      <w:r>
        <w:rPr>
          <w:rFonts w:ascii="宋体" w:eastAsia="宋体" w:hAnsi="宋体" w:cs="Times New Roman" w:hint="eastAsia"/>
          <w:szCs w:val="21"/>
        </w:rPr>
        <w:t>如有需要，政府集中采购机构可以对通用条款的内容进行补充。</w:t>
      </w:r>
      <w:bookmarkEnd w:id="19"/>
    </w:p>
    <w:p>
      <w:pPr>
        <w:ind w:firstLine="412" w:firstLineChars="196"/>
        <w:rPr>
          <w:rFonts w:ascii="宋体" w:eastAsia="宋体" w:hAnsi="宋体" w:cs="Times New Roman"/>
          <w:szCs w:val="21"/>
        </w:rPr>
      </w:pPr>
      <w:r>
        <w:rPr>
          <w:rFonts w:ascii="宋体" w:eastAsia="宋体" w:hAnsi="宋体" w:cs="Times New Roman" w:hint="eastAsia"/>
          <w:szCs w:val="21"/>
        </w:rPr>
        <w:t>1.2招标文件分为第一册“专用条款”和第二册“通用条款”。</w:t>
      </w:r>
    </w:p>
    <w:p>
      <w:pPr>
        <w:ind w:firstLine="412" w:firstLineChars="196"/>
        <w:rPr>
          <w:rFonts w:ascii="宋体" w:eastAsia="宋体" w:hAnsi="宋体" w:cs="Times New Roman"/>
          <w:szCs w:val="21"/>
        </w:rPr>
      </w:pPr>
      <w:r>
        <w:rPr>
          <w:rFonts w:ascii="宋体" w:eastAsia="宋体" w:hAnsi="宋体" w:cs="Times New Roman" w:hint="eastAsia"/>
          <w:szCs w:val="21"/>
        </w:rPr>
        <w:t>1.3“专用条款”是对本次采购项目的具体要求，包含招标公告、对通用条款的补充内容及其他关键信息、用户需求书、投标文件格式及附件、合同条款及格式等内容。</w:t>
      </w:r>
    </w:p>
    <w:p>
      <w:pPr>
        <w:ind w:firstLine="412" w:firstLineChars="196"/>
        <w:rPr>
          <w:rFonts w:ascii="宋体" w:eastAsia="宋体" w:hAnsi="宋体" w:cs="Times New Roman"/>
          <w:szCs w:val="21"/>
        </w:rPr>
      </w:pPr>
      <w:r>
        <w:rPr>
          <w:rFonts w:ascii="宋体" w:eastAsia="宋体" w:hAnsi="宋体" w:cs="Times New Roman" w:hint="eastAsia"/>
          <w:szCs w:val="21"/>
        </w:rPr>
        <w:t>1.4“通用条款”是适用于政府采购公开招标项目的基础性条款，具有普遍性和通用性。</w:t>
      </w:r>
    </w:p>
    <w:p>
      <w:pPr>
        <w:ind w:firstLine="412" w:firstLineChars="196"/>
        <w:rPr>
          <w:rFonts w:ascii="宋体" w:eastAsia="宋体" w:hAnsi="宋体" w:cs="Times New Roman"/>
          <w:szCs w:val="21"/>
        </w:rPr>
      </w:pPr>
      <w:r>
        <w:rPr>
          <w:rFonts w:ascii="宋体" w:eastAsia="宋体" w:hAnsi="宋体" w:cs="Times New Roman" w:hint="eastAsia"/>
          <w:szCs w:val="21"/>
        </w:rPr>
        <w:t>1.5“专用条款”和“通用条款”表述不一致或有冲突时，以“专用条款”为准。</w:t>
      </w:r>
    </w:p>
    <w:p>
      <w:pPr>
        <w:rPr>
          <w:rFonts w:ascii="黑体" w:eastAsia="黑体" w:hAnsi="宋体" w:cs="Times New Roman"/>
          <w:sz w:val="24"/>
          <w:szCs w:val="24"/>
        </w:rPr>
      </w:pPr>
      <w:r>
        <w:rPr>
          <w:rFonts w:ascii="黑体" w:eastAsia="黑体" w:hAnsi="宋体" w:cs="Times New Roman" w:hint="eastAsia"/>
          <w:sz w:val="24"/>
          <w:szCs w:val="24"/>
        </w:rPr>
        <w:t>2</w:t>
      </w:r>
      <w:r>
        <w:rPr>
          <w:rFonts w:ascii="黑体" w:eastAsia="黑体" w:hAnsi="宋体" w:cs="Times New Roman"/>
          <w:sz w:val="24"/>
          <w:szCs w:val="24"/>
        </w:rPr>
        <w:t>．</w:t>
      </w:r>
      <w:r>
        <w:rPr>
          <w:rFonts w:ascii="黑体" w:eastAsia="黑体" w:hAnsi="宋体" w:cs="Times New Roman" w:hint="eastAsia"/>
          <w:sz w:val="24"/>
          <w:szCs w:val="24"/>
        </w:rPr>
        <w:t>招标说明</w:t>
      </w:r>
    </w:p>
    <w:p>
      <w:pPr>
        <w:ind w:firstLine="412" w:firstLineChars="196"/>
        <w:rPr>
          <w:rFonts w:ascii="宋体" w:eastAsia="宋体" w:hAnsi="宋体" w:cs="Times New Roman"/>
          <w:szCs w:val="21"/>
        </w:rPr>
      </w:pPr>
      <w:r>
        <w:rPr>
          <w:rFonts w:ascii="宋体" w:eastAsia="宋体" w:hAnsi="宋体" w:cs="Times New Roman" w:hint="eastAsia"/>
          <w:szCs w:val="21"/>
        </w:rPr>
        <w:t>本项目按照《深圳经济特区政府采购条例》、《深圳经济特区政府采购条例实施细则》及政府采购其他法律法规，通过公开招标方式确定中标供应商。</w:t>
      </w:r>
    </w:p>
    <w:p>
      <w:pPr>
        <w:rPr>
          <w:rFonts w:ascii="黑体" w:eastAsia="黑体" w:hAnsi="宋体" w:cs="Times New Roman"/>
          <w:sz w:val="24"/>
          <w:szCs w:val="24"/>
        </w:rPr>
      </w:pPr>
      <w:r>
        <w:rPr>
          <w:rFonts w:ascii="黑体" w:eastAsia="黑体" w:hAnsi="宋体" w:cs="Times New Roman" w:hint="eastAsia"/>
          <w:sz w:val="24"/>
          <w:szCs w:val="24"/>
        </w:rPr>
        <w:t>3．定义</w:t>
      </w:r>
    </w:p>
    <w:p>
      <w:pPr>
        <w:ind w:firstLine="420" w:firstLineChars="200"/>
        <w:rPr>
          <w:rFonts w:ascii="宋体" w:eastAsia="宋体" w:hAnsi="宋体" w:cs="Times New Roman"/>
          <w:szCs w:val="21"/>
        </w:rPr>
      </w:pPr>
      <w:r>
        <w:rPr>
          <w:rFonts w:ascii="宋体" w:eastAsia="宋体" w:hAnsi="宋体" w:cs="Times New Roman"/>
          <w:szCs w:val="21"/>
        </w:rPr>
        <w:t>招标文件中下列术语应解释为：</w:t>
      </w:r>
    </w:p>
    <w:p>
      <w:pPr>
        <w:ind w:firstLine="412" w:firstLineChars="196"/>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1</w:t>
      </w:r>
      <w:r>
        <w:rPr>
          <w:rFonts w:ascii="宋体" w:eastAsia="宋体" w:hAnsi="宋体" w:cs="Times New Roman" w:hint="eastAsia"/>
          <w:szCs w:val="21"/>
        </w:rPr>
        <w:t>“采购人”：指利用财政性资金依法进行政府采购的国家机关、事业单位、团体组织；</w:t>
      </w:r>
    </w:p>
    <w:p>
      <w:pPr>
        <w:ind w:firstLine="412" w:firstLineChars="196"/>
        <w:rPr>
          <w:rFonts w:ascii="宋体" w:eastAsia="宋体" w:hAnsi="宋体" w:cs="Times New Roman"/>
          <w:szCs w:val="21"/>
        </w:rPr>
      </w:pPr>
      <w:r>
        <w:rPr>
          <w:rFonts w:ascii="宋体" w:eastAsia="宋体" w:hAnsi="宋体" w:cs="Times New Roman" w:hint="eastAsia"/>
          <w:szCs w:val="21"/>
        </w:rPr>
        <w:t>3.2“政府集中采购机构”</w:t>
      </w:r>
      <w:r>
        <w:rPr>
          <w:rFonts w:ascii="Arial" w:eastAsia="宋体" w:hAnsi="Arial" w:cs="Arial" w:hint="eastAsia"/>
          <w:szCs w:val="21"/>
          <w:shd w:val="clear" w:color="auto" w:fill="FFFFFF"/>
        </w:rPr>
        <w:t>是指市政府设立的，组织实施政府采购项目，并对政府采购活动提供服务的专门机构；</w:t>
      </w:r>
      <w:r>
        <w:rPr>
          <w:rFonts w:ascii="宋体" w:eastAsia="宋体" w:hAnsi="宋体" w:cs="Times New Roman" w:hint="eastAsia"/>
          <w:szCs w:val="21"/>
        </w:rPr>
        <w:t>本文件所述的“政府集中采购机构”</w:t>
      </w:r>
      <w:r>
        <w:rPr>
          <w:rFonts w:ascii="宋体" w:eastAsia="宋体" w:hAnsi="宋体" w:cs="Times New Roman"/>
          <w:szCs w:val="21"/>
        </w:rPr>
        <w:t>指</w:t>
      </w:r>
      <w:r>
        <w:rPr>
          <w:rFonts w:ascii="宋体" w:eastAsia="宋体" w:hAnsi="宋体" w:cs="Times New Roman" w:hint="eastAsia"/>
          <w:b/>
          <w:bCs/>
          <w:szCs w:val="21"/>
        </w:rPr>
        <w:t>深圳公共资源交易中心</w:t>
      </w:r>
      <w:r>
        <w:rPr>
          <w:rFonts w:ascii="宋体" w:eastAsia="宋体" w:hAnsi="宋体" w:cs="Times New Roman" w:hint="eastAsia"/>
          <w:szCs w:val="21"/>
        </w:rPr>
        <w:t>；</w:t>
      </w:r>
    </w:p>
    <w:p>
      <w:pPr>
        <w:ind w:firstLine="412" w:firstLineChars="196"/>
        <w:rPr>
          <w:rFonts w:ascii="宋体" w:eastAsia="宋体" w:hAnsi="宋体" w:cs="Times New Roman"/>
          <w:szCs w:val="21"/>
        </w:rPr>
      </w:pPr>
      <w:r>
        <w:rPr>
          <w:rFonts w:ascii="宋体" w:eastAsia="宋体" w:hAnsi="宋体" w:cs="Times New Roman" w:hint="eastAsia"/>
          <w:szCs w:val="21"/>
        </w:rPr>
        <w:t>3.3“投标人”，即供应商，指参加投标竞争并愿意按照招标文件要求向采购人提供货物、工程或者服务的依法成立的法人、其他组织或者自然人；</w:t>
      </w:r>
    </w:p>
    <w:p>
      <w:pPr>
        <w:ind w:firstLine="412" w:firstLineChars="196"/>
        <w:rPr>
          <w:rFonts w:ascii="宋体" w:eastAsia="宋体" w:hAnsi="宋体" w:cs="Times New Roman"/>
          <w:szCs w:val="21"/>
        </w:rPr>
      </w:pPr>
      <w:r>
        <w:rPr>
          <w:rFonts w:ascii="宋体" w:eastAsia="宋体" w:hAnsi="宋体" w:cs="Times New Roman" w:hint="eastAsia"/>
          <w:szCs w:val="21"/>
        </w:rPr>
        <w:t>3.4“评审委员会”是依据《深圳经济特区政府采购条例》、《深圳经济特区政府采购条例实施细则》等有关规定组建的专门负责本次招标评审工作的临时性机构；</w:t>
      </w:r>
    </w:p>
    <w:p>
      <w:pPr>
        <w:ind w:firstLine="412" w:firstLineChars="196"/>
        <w:rPr>
          <w:rFonts w:ascii="宋体" w:eastAsia="宋体" w:hAnsi="宋体" w:cs="Times New Roman"/>
          <w:szCs w:val="21"/>
        </w:rPr>
      </w:pPr>
      <w:r>
        <w:rPr>
          <w:rFonts w:ascii="宋体" w:eastAsia="宋体" w:hAnsi="宋体" w:cs="Times New Roman" w:hint="eastAsia"/>
          <w:szCs w:val="21"/>
        </w:rPr>
        <w:t>3.5“日期”</w:t>
      </w:r>
      <w:r>
        <w:rPr>
          <w:rFonts w:ascii="宋体" w:eastAsia="宋体" w:hAnsi="宋体" w:cs="Times New Roman"/>
          <w:szCs w:val="21"/>
        </w:rPr>
        <w:t>指</w:t>
      </w:r>
      <w:r>
        <w:rPr>
          <w:rFonts w:ascii="宋体" w:eastAsia="宋体" w:hAnsi="宋体" w:cs="Times New Roman" w:hint="eastAsia"/>
          <w:szCs w:val="21"/>
        </w:rPr>
        <w:t>公历日；</w:t>
      </w:r>
    </w:p>
    <w:p>
      <w:pPr>
        <w:ind w:firstLine="412" w:firstLineChars="196"/>
        <w:rPr>
          <w:rFonts w:ascii="宋体" w:eastAsia="宋体" w:hAnsi="宋体" w:cs="Times New Roman"/>
          <w:szCs w:val="21"/>
        </w:rPr>
      </w:pPr>
      <w:r>
        <w:rPr>
          <w:rFonts w:ascii="宋体" w:eastAsia="宋体" w:hAnsi="宋体" w:cs="Times New Roman" w:hint="eastAsia"/>
          <w:szCs w:val="21"/>
        </w:rPr>
        <w:t>3.6“合同”指由本次招标所产生的合同或合约文件；</w:t>
      </w:r>
    </w:p>
    <w:p>
      <w:pPr>
        <w:ind w:firstLine="412" w:firstLineChars="196"/>
        <w:rPr>
          <w:rFonts w:ascii="宋体" w:eastAsia="宋体" w:hAnsi="宋体" w:cs="Times New Roman"/>
          <w:szCs w:val="21"/>
        </w:rPr>
      </w:pPr>
      <w:r>
        <w:rPr>
          <w:rFonts w:ascii="宋体" w:eastAsia="宋体" w:hAnsi="宋体" w:cs="Times New Roman" w:hint="eastAsia"/>
          <w:szCs w:val="21"/>
        </w:rPr>
        <w:t>3.7“电子投标文件”指利用</w:t>
      </w:r>
      <w:r>
        <w:rPr>
          <w:rFonts w:ascii="宋体" w:eastAsia="宋体" w:hAnsi="宋体" w:cs="Times New Roman" w:hint="eastAsia"/>
          <w:b/>
          <w:bCs/>
          <w:color w:val="FF0000"/>
          <w:szCs w:val="21"/>
        </w:rPr>
        <w:t>深圳公共资源交易中心（深圳交易集团有限公司宝安分公司）</w:t>
      </w:r>
      <w:r>
        <w:rPr>
          <w:rFonts w:ascii="宋体" w:eastAsia="宋体" w:hAnsi="宋体" w:cs="Times New Roman" w:hint="eastAsia"/>
          <w:szCs w:val="21"/>
        </w:rPr>
        <w:t>网站提供的深圳智慧采购平台投标文件制作专用软件（以下简称：投标文件制作软件）制作并加密的投标文件,适用于网上投标；（投标文件制作软件可从“下载地址：http://zfcg.szggzy.com/TPBidder/DownLoad/深圳市智慧采购平台投标文件制作专用软件.zip”下载）</w:t>
      </w:r>
      <w:bookmarkStart w:id="20" w:name="_Hlk72398581"/>
      <w:r>
        <w:rPr>
          <w:rFonts w:ascii="宋体" w:eastAsia="宋体" w:hAnsi="宋体" w:cs="Times New Roman" w:hint="eastAsia"/>
          <w:szCs w:val="21"/>
        </w:rPr>
        <w:t>；</w:t>
      </w:r>
      <w:bookmarkEnd w:id="20"/>
    </w:p>
    <w:p>
      <w:pPr>
        <w:ind w:firstLine="412" w:firstLineChars="196"/>
        <w:rPr>
          <w:rFonts w:ascii="宋体" w:eastAsia="宋体" w:hAnsi="宋体" w:cs="Times New Roman"/>
          <w:szCs w:val="21"/>
        </w:rPr>
      </w:pPr>
      <w:r>
        <w:rPr>
          <w:rFonts w:ascii="宋体" w:eastAsia="宋体" w:hAnsi="宋体" w:cs="Times New Roman" w:hint="eastAsia"/>
          <w:szCs w:val="21"/>
        </w:rPr>
        <w:t>3.8“网上投标”指通过</w:t>
      </w:r>
      <w:r>
        <w:rPr>
          <w:rFonts w:ascii="宋体" w:eastAsia="宋体" w:hAnsi="宋体" w:cs="Times New Roman" w:hint="eastAsia"/>
          <w:b/>
          <w:bCs/>
          <w:color w:val="FF0000"/>
          <w:szCs w:val="21"/>
        </w:rPr>
        <w:t>深圳公共资源交易中心（深圳交易集团有限公司宝安分公司）</w:t>
      </w:r>
      <w:r>
        <w:rPr>
          <w:rFonts w:ascii="宋体" w:eastAsia="宋体" w:hAnsi="宋体" w:cs="Times New Roman" w:hint="eastAsia"/>
          <w:szCs w:val="21"/>
        </w:rPr>
        <w:t>网站（</w:t>
      </w:r>
      <w:r>
        <w:rPr>
          <w:rFonts w:ascii="宋体" w:eastAsia="宋体" w:hAnsi="宋体" w:cs="Times New Roman" w:hint="eastAsia"/>
          <w:b/>
          <w:bCs/>
          <w:szCs w:val="21"/>
        </w:rPr>
        <w:t>网站网址：</w:t>
      </w:r>
      <w:r>
        <w:rPr>
          <w:rFonts w:ascii="宋体" w:eastAsia="宋体" w:hAnsi="宋体" w:cs="Times New Roman"/>
          <w:b/>
          <w:bCs/>
          <w:szCs w:val="21"/>
        </w:rPr>
        <w:t>https://ba.szggzy.com/</w:t>
      </w:r>
      <w:r>
        <w:rPr>
          <w:rFonts w:ascii="宋体" w:eastAsia="宋体" w:hAnsi="宋体" w:cs="Times New Roman" w:hint="eastAsia"/>
          <w:szCs w:val="21"/>
        </w:rPr>
        <w:t>）上传电子投标文件；</w:t>
      </w:r>
    </w:p>
    <w:p>
      <w:pPr>
        <w:ind w:firstLine="412" w:firstLineChars="196"/>
        <w:rPr>
          <w:rFonts w:ascii="宋体" w:eastAsia="宋体" w:hAnsi="宋体" w:cs="Times New Roman"/>
          <w:szCs w:val="21"/>
        </w:rPr>
      </w:pPr>
      <w:r>
        <w:rPr>
          <w:rFonts w:ascii="宋体" w:eastAsia="宋体" w:hAnsi="宋体" w:cs="Times New Roman" w:hint="eastAsia"/>
          <w:szCs w:val="21"/>
        </w:rPr>
        <w:t>3.9招标文件中的标题或题名仅起引导作用，而不应视为对招标文件内容的理解和解释。</w:t>
      </w:r>
    </w:p>
    <w:p>
      <w:pPr>
        <w:rPr>
          <w:rFonts w:ascii="黑体" w:eastAsia="黑体" w:hAnsi="宋体" w:cs="Times New Roman"/>
          <w:sz w:val="24"/>
          <w:szCs w:val="24"/>
        </w:rPr>
      </w:pPr>
      <w:r>
        <w:rPr>
          <w:rFonts w:ascii="黑体" w:eastAsia="黑体" w:hAnsi="宋体" w:cs="Times New Roman" w:hint="eastAsia"/>
          <w:sz w:val="24"/>
          <w:szCs w:val="24"/>
        </w:rPr>
        <w:t xml:space="preserve">4. </w:t>
      </w:r>
      <w:bookmarkStart w:id="21" w:name="_Hlk72398643"/>
      <w:r>
        <w:rPr>
          <w:rFonts w:ascii="黑体" w:eastAsia="黑体" w:hAnsi="宋体" w:cs="Times New Roman" w:hint="eastAsia"/>
          <w:sz w:val="24"/>
          <w:szCs w:val="24"/>
        </w:rPr>
        <w:t>政府采购供应商责任</w:t>
      </w:r>
    </w:p>
    <w:p>
      <w:pPr>
        <w:ind w:firstLine="412" w:firstLineChars="196"/>
        <w:rPr>
          <w:rFonts w:ascii="宋体" w:eastAsia="宋体" w:hAnsi="宋体" w:cs="Times New Roman"/>
          <w:szCs w:val="21"/>
        </w:rPr>
      </w:pPr>
      <w:r>
        <w:rPr>
          <w:rFonts w:ascii="宋体" w:eastAsia="宋体" w:hAnsi="宋体" w:cs="Times New Roman" w:hint="eastAsia"/>
          <w:szCs w:val="21"/>
        </w:rPr>
        <w:t>4.1欢迎诚信、有实力和有社会责任心的供应商参与政府采购事业。</w:t>
      </w:r>
    </w:p>
    <w:p>
      <w:pPr>
        <w:ind w:firstLine="412" w:firstLineChars="196"/>
        <w:rPr>
          <w:rFonts w:ascii="宋体" w:eastAsia="宋体" w:hAnsi="宋体" w:cs="Times New Roman"/>
          <w:szCs w:val="21"/>
        </w:rPr>
      </w:pPr>
      <w:r>
        <w:rPr>
          <w:rFonts w:ascii="宋体" w:eastAsia="宋体" w:hAnsi="宋体" w:cs="Times New Roman" w:hint="eastAsia"/>
          <w:szCs w:val="21"/>
        </w:rPr>
        <w:t>4.2投标人应当遵循公平竞争的原则，不得恶意串通，不得妨碍其他投标人的竞争行为，不得损害采购人或者其他投标人的合法权益。如违反上述要求，经核实后，供应商的投标无效。</w:t>
      </w:r>
    </w:p>
    <w:p>
      <w:pPr>
        <w:rPr>
          <w:rFonts w:ascii="黑体" w:eastAsia="黑体" w:hAnsi="宋体" w:cs="Times New Roman"/>
          <w:sz w:val="24"/>
          <w:szCs w:val="24"/>
        </w:rPr>
      </w:pPr>
      <w:r>
        <w:rPr>
          <w:rFonts w:ascii="黑体" w:eastAsia="黑体" w:hAnsi="宋体" w:cs="Times New Roman" w:hint="eastAsia"/>
          <w:sz w:val="24"/>
          <w:szCs w:val="24"/>
        </w:rPr>
        <w:t>5．投标人参加政府采购的条件</w:t>
      </w:r>
    </w:p>
    <w:p>
      <w:pPr>
        <w:ind w:firstLine="412" w:firstLineChars="196"/>
        <w:rPr>
          <w:rFonts w:ascii="宋体" w:eastAsia="宋体" w:hAnsi="宋体" w:cs="Times New Roman"/>
          <w:szCs w:val="21"/>
        </w:rPr>
      </w:pPr>
      <w:r>
        <w:rPr>
          <w:rFonts w:ascii="宋体" w:eastAsia="宋体" w:hAnsi="宋体" w:cs="Times New Roman" w:hint="eastAsia"/>
          <w:szCs w:val="21"/>
        </w:rPr>
        <w:t>5.1投标人应在投标前到</w:t>
      </w:r>
      <w:r>
        <w:rPr>
          <w:rFonts w:ascii="宋体" w:eastAsia="宋体" w:hAnsi="宋体" w:cs="Times New Roman" w:hint="eastAsia"/>
          <w:b/>
          <w:bCs/>
          <w:szCs w:val="21"/>
        </w:rPr>
        <w:t>深圳公共资源交易中心（具体在深圳交易集团有限公司政府采购业务分公司进行办理）</w:t>
      </w:r>
      <w:r>
        <w:rPr>
          <w:rFonts w:ascii="宋体" w:eastAsia="宋体" w:hAnsi="宋体" w:cs="Times New Roman" w:hint="eastAsia"/>
          <w:szCs w:val="21"/>
        </w:rPr>
        <w:t>进行注册并办理电子密钥。《</w:t>
      </w:r>
      <w:r>
        <w:fldChar w:fldCharType="begin"/>
      </w:r>
      <w:r>
        <w:instrText xml:space="preserve"> HYPERLINK "http://www.szzfcg.cn/viewer.do?id=2455258" </w:instrText>
      </w:r>
      <w:r>
        <w:fldChar w:fldCharType="separate"/>
      </w:r>
      <w:r>
        <w:rPr>
          <w:rFonts w:ascii="宋体" w:eastAsia="宋体" w:hAnsi="宋体" w:cs="Times New Roman"/>
          <w:szCs w:val="21"/>
        </w:rPr>
        <w:t>供应商注册及电子密钥新申请指引</w:t>
      </w:r>
      <w:r>
        <w:rPr>
          <w:rFonts w:ascii="宋体" w:eastAsia="宋体" w:hAnsi="宋体" w:cs="Times New Roman"/>
          <w:szCs w:val="21"/>
        </w:rPr>
        <w:fldChar w:fldCharType="end"/>
      </w:r>
      <w:r>
        <w:rPr>
          <w:rFonts w:ascii="宋体" w:eastAsia="宋体" w:hAnsi="宋体" w:cs="Times New Roman" w:hint="eastAsia"/>
          <w:szCs w:val="21"/>
        </w:rPr>
        <w:t>》详见</w:t>
      </w:r>
      <w:r>
        <w:rPr>
          <w:rFonts w:ascii="Times New Roman" w:eastAsia="宋体" w:hAnsi="Times New Roman" w:cs="Times New Roman"/>
          <w:b/>
          <w:szCs w:val="24"/>
        </w:rPr>
        <w:t>www.szggzy.com</w:t>
      </w:r>
      <w:r>
        <w:rPr>
          <w:rFonts w:ascii="宋体" w:eastAsia="宋体" w:hAnsi="宋体" w:cs="Times New Roman" w:hint="eastAsia"/>
          <w:szCs w:val="21"/>
        </w:rPr>
        <w:t>网站“服务导航-政府采购-办事指南”。</w:t>
      </w:r>
    </w:p>
    <w:p>
      <w:pPr>
        <w:ind w:firstLine="412" w:firstLineChars="196"/>
        <w:rPr>
          <w:rFonts w:ascii="宋体" w:eastAsia="宋体" w:hAnsi="宋体" w:cs="Times New Roman"/>
          <w:szCs w:val="21"/>
        </w:rPr>
      </w:pPr>
      <w:r>
        <w:rPr>
          <w:rFonts w:ascii="宋体" w:eastAsia="宋体" w:hAnsi="宋体" w:cs="Times New Roman" w:hint="eastAsia"/>
          <w:szCs w:val="21"/>
        </w:rPr>
        <w:t>5.2投标人资格要求</w:t>
      </w:r>
    </w:p>
    <w:p>
      <w:pPr>
        <w:ind w:firstLine="412" w:firstLineChars="196"/>
        <w:rPr>
          <w:rFonts w:ascii="宋体" w:eastAsia="宋体" w:hAnsi="宋体" w:cs="Times New Roman"/>
          <w:szCs w:val="21"/>
        </w:rPr>
      </w:pPr>
      <w:r>
        <w:rPr>
          <w:rFonts w:ascii="宋体" w:eastAsia="宋体" w:hAnsi="宋体" w:cs="Times New Roman" w:hint="eastAsia"/>
          <w:szCs w:val="21"/>
        </w:rPr>
        <w:t>参加本项目的投标人应具备的资格条件详见本项目招标公告中 “投标人资格要求”（即申请人的资格要求）的内容。</w:t>
      </w:r>
    </w:p>
    <w:p>
      <w:pPr>
        <w:ind w:firstLine="412" w:firstLineChars="196"/>
        <w:rPr>
          <w:rFonts w:ascii="宋体" w:eastAsia="宋体" w:hAnsi="宋体" w:cs="Times New Roman"/>
          <w:szCs w:val="21"/>
        </w:rPr>
      </w:pPr>
      <w:r>
        <w:rPr>
          <w:rFonts w:ascii="宋体" w:eastAsia="宋体" w:hAnsi="宋体" w:cs="Times New Roman" w:hint="eastAsia"/>
          <w:szCs w:val="21"/>
        </w:rPr>
        <w:t>5.3联合体投标</w:t>
      </w:r>
    </w:p>
    <w:p>
      <w:pPr>
        <w:ind w:firstLine="412" w:firstLineChars="196"/>
        <w:rPr>
          <w:rFonts w:ascii="宋体" w:eastAsia="宋体" w:hAnsi="宋体" w:cs="Times New Roman"/>
          <w:szCs w:val="21"/>
        </w:rPr>
      </w:pPr>
      <w:r>
        <w:rPr>
          <w:rFonts w:ascii="宋体" w:eastAsia="宋体" w:hAnsi="宋体" w:cs="Times New Roman" w:hint="eastAsia"/>
          <w:szCs w:val="21"/>
        </w:rPr>
        <w:t>5.3.1　以下有关联合体投标的条款仅适用于允许投标人组成联合体投标的项目。</w:t>
      </w:r>
    </w:p>
    <w:p>
      <w:pPr>
        <w:ind w:firstLine="412" w:firstLineChars="196"/>
        <w:rPr>
          <w:rFonts w:ascii="宋体" w:eastAsia="宋体" w:hAnsi="宋体" w:cs="Times New Roman"/>
          <w:szCs w:val="21"/>
        </w:rPr>
      </w:pPr>
      <w:r>
        <w:rPr>
          <w:rFonts w:ascii="宋体" w:eastAsia="宋体" w:hAnsi="宋体" w:cs="Times New Roman" w:hint="eastAsia"/>
          <w:szCs w:val="21"/>
        </w:rPr>
        <w:t>5.3.2  由两个或两个以上的自然人、法人或者其他组织可以组成一个联合体，以一个供应商的身份共同投标时，应符合以下原则：</w:t>
      </w:r>
    </w:p>
    <w:p>
      <w:pPr>
        <w:ind w:firstLine="412" w:firstLineChars="196"/>
        <w:rPr>
          <w:rFonts w:ascii="宋体" w:eastAsia="宋体" w:hAnsi="宋体" w:cs="Times New Roman"/>
          <w:szCs w:val="24"/>
        </w:rPr>
      </w:pPr>
      <w:r>
        <w:rPr>
          <w:rFonts w:ascii="宋体" w:eastAsia="宋体" w:hAnsi="宋体" w:cs="Times New Roman" w:hint="eastAsia"/>
          <w:szCs w:val="24"/>
        </w:rPr>
        <w:t>（1）投标联合体各方参加政府采购活动应当具备下列条件：</w:t>
      </w:r>
    </w:p>
    <w:p>
      <w:pPr>
        <w:ind w:left="420" w:firstLine="412" w:leftChars="200" w:firstLineChars="196"/>
        <w:rPr>
          <w:rFonts w:ascii="宋体" w:eastAsia="宋体" w:hAnsi="宋体" w:cs="Times New Roman"/>
          <w:szCs w:val="24"/>
        </w:rPr>
      </w:pPr>
      <w:r>
        <w:rPr>
          <w:rFonts w:ascii="宋体" w:eastAsia="宋体" w:hAnsi="宋体" w:cs="Times New Roman" w:hint="eastAsia"/>
          <w:szCs w:val="24"/>
        </w:rPr>
        <w:t>1、具有独立承担民事责任的能力；</w:t>
      </w:r>
    </w:p>
    <w:p>
      <w:pPr>
        <w:ind w:left="420" w:firstLine="412" w:firstLineChars="196"/>
        <w:rPr>
          <w:rFonts w:ascii="宋体" w:eastAsia="宋体" w:hAnsi="宋体" w:cs="Times New Roman"/>
          <w:szCs w:val="24"/>
        </w:rPr>
      </w:pPr>
      <w:r>
        <w:rPr>
          <w:rFonts w:ascii="宋体" w:eastAsia="宋体" w:hAnsi="宋体" w:cs="Times New Roman" w:hint="eastAsia"/>
          <w:szCs w:val="24"/>
        </w:rPr>
        <w:t>2、有良好的商业信誉和健全的财务会计制度；</w:t>
      </w:r>
    </w:p>
    <w:p>
      <w:pPr>
        <w:ind w:left="420" w:firstLine="412" w:leftChars="200" w:firstLineChars="196"/>
        <w:rPr>
          <w:rFonts w:ascii="宋体" w:eastAsia="宋体" w:hAnsi="宋体" w:cs="Times New Roman"/>
          <w:szCs w:val="24"/>
        </w:rPr>
      </w:pPr>
      <w:r>
        <w:rPr>
          <w:rFonts w:ascii="宋体" w:eastAsia="宋体" w:hAnsi="宋体" w:cs="Times New Roman" w:hint="eastAsia"/>
          <w:szCs w:val="24"/>
        </w:rPr>
        <w:t>3、具有履行合同所必需的设备和专业技术能力；</w:t>
      </w:r>
    </w:p>
    <w:p>
      <w:pPr>
        <w:ind w:left="420" w:firstLine="412" w:leftChars="200" w:firstLineChars="196"/>
        <w:rPr>
          <w:rFonts w:ascii="宋体" w:eastAsia="宋体" w:hAnsi="宋体" w:cs="Times New Roman"/>
          <w:szCs w:val="24"/>
        </w:rPr>
      </w:pPr>
      <w:r>
        <w:rPr>
          <w:rFonts w:ascii="宋体" w:eastAsia="宋体" w:hAnsi="宋体" w:cs="Times New Roman" w:hint="eastAsia"/>
          <w:szCs w:val="24"/>
        </w:rPr>
        <w:t>4、有依法缴纳税收和社会保障资金的良好记录；</w:t>
      </w:r>
    </w:p>
    <w:p>
      <w:pPr>
        <w:ind w:left="420" w:firstLine="412" w:leftChars="200" w:firstLineChars="196"/>
        <w:rPr>
          <w:rFonts w:ascii="宋体" w:eastAsia="宋体" w:hAnsi="宋体" w:cs="Times New Roman"/>
          <w:szCs w:val="24"/>
        </w:rPr>
      </w:pPr>
      <w:r>
        <w:rPr>
          <w:rFonts w:ascii="宋体" w:eastAsia="宋体" w:hAnsi="宋体" w:cs="Times New Roman" w:hint="eastAsia"/>
          <w:szCs w:val="24"/>
        </w:rPr>
        <w:t>5、参加政府采购活动前三年内，在经营活动中没有重大违法记录；</w:t>
      </w:r>
    </w:p>
    <w:p>
      <w:pPr>
        <w:ind w:left="420" w:firstLine="412" w:leftChars="200" w:firstLineChars="196"/>
        <w:rPr>
          <w:rFonts w:ascii="宋体" w:eastAsia="宋体" w:hAnsi="宋体" w:cs="Times New Roman"/>
          <w:szCs w:val="24"/>
        </w:rPr>
      </w:pPr>
      <w:r>
        <w:rPr>
          <w:rFonts w:ascii="宋体" w:eastAsia="宋体" w:hAnsi="宋体" w:cs="Times New Roman" w:hint="eastAsia"/>
          <w:szCs w:val="24"/>
        </w:rPr>
        <w:t>6、法律、行政法规规定的其他条件。</w:t>
      </w:r>
    </w:p>
    <w:p>
      <w:pPr>
        <w:ind w:firstLine="412" w:firstLineChars="196"/>
        <w:rPr>
          <w:rFonts w:ascii="宋体" w:eastAsia="宋体" w:hAnsi="宋体" w:cs="Times New Roman"/>
          <w:szCs w:val="24"/>
        </w:rPr>
      </w:pPr>
      <w:r>
        <w:rPr>
          <w:rFonts w:ascii="宋体" w:eastAsia="宋体" w:hAnsi="宋体" w:cs="Times New Roman" w:hint="eastAsia"/>
          <w:szCs w:val="24"/>
        </w:rPr>
        <w:t>（2）在投标截止前，投标联合体各方均应注册成政府集中采购机构供应商；</w:t>
      </w:r>
    </w:p>
    <w:p>
      <w:pPr>
        <w:ind w:firstLine="412" w:firstLineChars="196"/>
        <w:rPr>
          <w:rFonts w:ascii="宋体" w:eastAsia="宋体" w:hAnsi="宋体" w:cs="Times New Roman"/>
          <w:szCs w:val="24"/>
        </w:rPr>
      </w:pPr>
      <w:r>
        <w:rPr>
          <w:rFonts w:ascii="宋体" w:eastAsia="宋体" w:hAnsi="宋体" w:cs="Times New Roman" w:hint="eastAsia"/>
          <w:szCs w:val="24"/>
        </w:rPr>
        <w:t>（3）联合体中有同类资质的供应商按照联合体分工承担相同工作的，应当按照资质等级较低的供应商确定资质等级；</w:t>
      </w:r>
    </w:p>
    <w:p>
      <w:pPr>
        <w:ind w:firstLine="412" w:firstLineChars="196"/>
        <w:rPr>
          <w:rFonts w:ascii="Times New Roman" w:eastAsia="宋体" w:hAnsi="Times New Roman" w:cs="Times New Roman"/>
          <w:szCs w:val="24"/>
        </w:rPr>
      </w:pPr>
      <w:r>
        <w:rPr>
          <w:rFonts w:ascii="Times New Roman" w:eastAsia="宋体" w:hAnsi="Times New Roman" w:cs="Times New Roman" w:hint="eastAsia"/>
          <w:szCs w:val="24"/>
        </w:rPr>
        <w:t>（4）是否允许联合体参加投标，应当由采购人和采购代理机构根据项目的实际情况和潜在供应商的数量自主决定，如果决定接受联合体投标则应当在招标公告中明示；</w:t>
      </w:r>
    </w:p>
    <w:p>
      <w:pPr>
        <w:ind w:firstLine="412" w:firstLineChars="196"/>
        <w:rPr>
          <w:rFonts w:ascii="宋体" w:eastAsia="宋体" w:hAnsi="宋体" w:cs="Times New Roman"/>
          <w:szCs w:val="24"/>
        </w:rPr>
      </w:pPr>
      <w:r>
        <w:rPr>
          <w:rFonts w:ascii="宋体" w:eastAsia="宋体" w:hAnsi="宋体" w:cs="Times New Roman" w:hint="eastAsia"/>
          <w:szCs w:val="24"/>
        </w:rPr>
        <w:t>（5）投标人的投标文件及中标后签署的合同协议对联合体各方均具法律约束力；</w:t>
      </w:r>
    </w:p>
    <w:p>
      <w:pPr>
        <w:ind w:firstLine="412" w:firstLineChars="196"/>
        <w:rPr>
          <w:rFonts w:ascii="宋体" w:eastAsia="宋体" w:hAnsi="宋体" w:cs="Times New Roman"/>
          <w:szCs w:val="24"/>
        </w:rPr>
      </w:pPr>
      <w:r>
        <w:rPr>
          <w:rFonts w:ascii="宋体" w:eastAsia="宋体" w:hAnsi="宋体" w:cs="Times New Roman" w:hint="eastAsia"/>
          <w:szCs w:val="24"/>
        </w:rPr>
        <w:t>（6）联合体各方应当签订联合体投标协议，明确约定各方拟承担的工作和责任，并将该协议随投标文件一并递交给政府集中采购机构；</w:t>
      </w:r>
    </w:p>
    <w:p>
      <w:pPr>
        <w:ind w:firstLine="412" w:firstLineChars="196"/>
        <w:rPr>
          <w:rFonts w:ascii="宋体" w:eastAsia="宋体" w:hAnsi="宋体" w:cs="Times New Roman"/>
          <w:szCs w:val="24"/>
        </w:rPr>
      </w:pPr>
      <w:r>
        <w:rPr>
          <w:rFonts w:ascii="宋体" w:eastAsia="宋体" w:hAnsi="宋体" w:cs="Times New Roman" w:hint="eastAsia"/>
          <w:szCs w:val="24"/>
        </w:rPr>
        <w:t>（7）联合体中标后，联合体各方应当共同与采购人签订合同，就中标项目向采购人承担连带责任；</w:t>
      </w:r>
    </w:p>
    <w:p>
      <w:pPr>
        <w:ind w:firstLine="412" w:firstLineChars="196"/>
        <w:rPr>
          <w:rFonts w:ascii="宋体" w:eastAsia="宋体" w:hAnsi="宋体" w:cs="Times New Roman"/>
          <w:szCs w:val="24"/>
        </w:rPr>
      </w:pPr>
      <w:r>
        <w:rPr>
          <w:rFonts w:ascii="宋体" w:eastAsia="宋体" w:hAnsi="宋体" w:cs="Times New Roman" w:hint="eastAsia"/>
          <w:szCs w:val="24"/>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2" w:firstLineChars="196"/>
        <w:rPr>
          <w:rFonts w:ascii="宋体" w:eastAsia="宋体" w:hAnsi="宋体" w:cs="Times New Roman"/>
          <w:szCs w:val="21"/>
        </w:rPr>
      </w:pPr>
      <w:r>
        <w:rPr>
          <w:rFonts w:ascii="宋体" w:eastAsia="宋体" w:hAnsi="宋体" w:cs="Times New Roman" w:hint="eastAsia"/>
          <w:szCs w:val="24"/>
        </w:rPr>
        <w:t>（9）本通用条款中“投标人”一词亦指联合体各方，专用条款另有规定或说明的除外。</w:t>
      </w:r>
    </w:p>
    <w:p>
      <w:pPr>
        <w:rPr>
          <w:rFonts w:ascii="黑体" w:eastAsia="黑体" w:hAnsi="宋体" w:cs="Times New Roman"/>
          <w:sz w:val="24"/>
          <w:szCs w:val="24"/>
        </w:rPr>
      </w:pPr>
      <w:r>
        <w:rPr>
          <w:rFonts w:ascii="黑体" w:eastAsia="黑体" w:hAnsi="宋体" w:cs="Times New Roman" w:hint="eastAsia"/>
          <w:sz w:val="24"/>
          <w:szCs w:val="24"/>
        </w:rPr>
        <w:t>6．政策导向</w:t>
      </w:r>
    </w:p>
    <w:p>
      <w:pPr>
        <w:ind w:firstLine="412" w:firstLineChars="196"/>
        <w:rPr>
          <w:rFonts w:ascii="宋体" w:eastAsia="宋体" w:hAnsi="宋体" w:cs="Times New Roman"/>
          <w:szCs w:val="24"/>
        </w:rPr>
      </w:pPr>
      <w:r>
        <w:rPr>
          <w:rFonts w:ascii="宋体" w:eastAsia="宋体" w:hAnsi="宋体" w:cs="Times New Roman" w:hint="eastAsia"/>
          <w:szCs w:val="24"/>
        </w:rPr>
        <w:t>6.1政府采购扶持贫困地区、中小企业、监狱企业和残疾人福利性单位发展，支持节能减排、环境保护。</w:t>
      </w:r>
    </w:p>
    <w:p>
      <w:pPr>
        <w:ind w:firstLine="405"/>
        <w:rPr>
          <w:rFonts w:ascii="Times New Roman" w:eastAsia="宋体" w:hAnsi="Times New Roman" w:cs="Times New Roman"/>
          <w:szCs w:val="24"/>
          <w:shd w:val="clear" w:color="auto" w:fill="FFFFFF"/>
        </w:rPr>
      </w:pPr>
      <w:r>
        <w:rPr>
          <w:rFonts w:ascii="宋体" w:eastAsia="宋体" w:hAnsi="宋体" w:cs="Times New Roman" w:hint="eastAsia"/>
          <w:szCs w:val="24"/>
        </w:rPr>
        <w:t>6.2本项目落实深圳市政府采购供应商诚信管理政策要求。</w:t>
      </w:r>
    </w:p>
    <w:p>
      <w:pPr>
        <w:rPr>
          <w:rFonts w:ascii="黑体" w:eastAsia="黑体" w:hAnsi="宋体" w:cs="Times New Roman"/>
          <w:sz w:val="24"/>
          <w:szCs w:val="24"/>
        </w:rPr>
      </w:pPr>
      <w:r>
        <w:rPr>
          <w:rFonts w:ascii="黑体" w:eastAsia="黑体" w:hAnsi="宋体" w:cs="Times New Roman" w:hint="eastAsia"/>
          <w:sz w:val="24"/>
          <w:szCs w:val="24"/>
        </w:rPr>
        <w:t>7. 本项目若涉及采购货物，则合格的货物及相应服务应满足以下要求：</w:t>
      </w:r>
    </w:p>
    <w:p>
      <w:pPr>
        <w:ind w:firstLine="412" w:firstLineChars="196"/>
        <w:rPr>
          <w:rFonts w:ascii="宋体" w:eastAsia="宋体" w:hAnsi="宋体" w:cs="Times New Roman"/>
          <w:szCs w:val="24"/>
        </w:rPr>
      </w:pPr>
      <w:r>
        <w:rPr>
          <w:rFonts w:ascii="宋体" w:eastAsia="宋体" w:hAnsi="宋体" w:cs="Times New Roman" w:hint="eastAsia"/>
          <w:szCs w:val="24"/>
        </w:rPr>
        <w:t>7</w:t>
      </w:r>
      <w:r>
        <w:rPr>
          <w:rFonts w:ascii="宋体" w:eastAsia="宋体" w:hAnsi="宋体" w:cs="Times New Roman"/>
          <w:szCs w:val="24"/>
        </w:rPr>
        <w:t xml:space="preserve">.1  </w:t>
      </w:r>
      <w:r>
        <w:rPr>
          <w:rFonts w:ascii="宋体" w:eastAsia="宋体" w:hAnsi="宋体" w:cs="Times New Roman" w:hint="eastAsia"/>
          <w:szCs w:val="24"/>
        </w:rPr>
        <w:t>必须是全新、未使用过的原装合格正品（包括零部件），如安装或配置了软件的，须为正版软件。</w:t>
      </w:r>
    </w:p>
    <w:p>
      <w:pPr>
        <w:ind w:firstLine="412" w:firstLineChars="196"/>
        <w:rPr>
          <w:rFonts w:ascii="宋体" w:eastAsia="宋体" w:hAnsi="宋体" w:cs="Times New Roman"/>
          <w:szCs w:val="24"/>
        </w:rPr>
      </w:pPr>
      <w:r>
        <w:rPr>
          <w:rFonts w:ascii="宋体" w:eastAsia="宋体" w:hAnsi="宋体" w:cs="Times New Roman" w:hint="eastAsia"/>
          <w:szCs w:val="24"/>
        </w:rPr>
        <w:t>7.2  国产的货物及其有关服务必须符合中华人民共和国的设计、制造生产标准及行业标准。招标公告有其他要求的，亦应符合其要求。</w:t>
      </w:r>
    </w:p>
    <w:p>
      <w:pPr>
        <w:ind w:firstLine="412" w:firstLineChars="196"/>
        <w:rPr>
          <w:rFonts w:ascii="宋体" w:eastAsia="宋体" w:hAnsi="宋体" w:cs="Times New Roman"/>
          <w:szCs w:val="24"/>
        </w:rPr>
      </w:pP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2" w:firstLineChars="196"/>
        <w:rPr>
          <w:rFonts w:ascii="宋体" w:eastAsia="宋体" w:hAnsi="宋体" w:cs="Times New Roman"/>
          <w:szCs w:val="24"/>
        </w:rPr>
      </w:pP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4投标人</w:t>
      </w:r>
      <w:bookmarkStart w:id="22" w:name="_Hlk72152753"/>
      <w:r>
        <w:rPr>
          <w:rFonts w:ascii="宋体" w:eastAsia="宋体" w:hAnsi="宋体" w:cs="Times New Roman" w:hint="eastAsia"/>
          <w:szCs w:val="24"/>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22"/>
    </w:p>
    <w:p>
      <w:pPr>
        <w:ind w:firstLine="412" w:firstLineChars="196"/>
        <w:rPr>
          <w:rFonts w:ascii="宋体" w:eastAsia="宋体" w:hAnsi="宋体" w:cs="Times New Roman"/>
          <w:szCs w:val="24"/>
        </w:rPr>
      </w:pPr>
      <w:r>
        <w:rPr>
          <w:rFonts w:ascii="宋体" w:eastAsia="宋体" w:hAnsi="宋体" w:cs="Times New Roman" w:hint="eastAsia"/>
          <w:szCs w:val="24"/>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2" w:firstLineChars="196"/>
        <w:rPr>
          <w:rFonts w:ascii="宋体" w:eastAsia="宋体" w:hAnsi="宋体" w:cs="Times New Roman"/>
          <w:szCs w:val="24"/>
        </w:rPr>
      </w:pPr>
      <w:r>
        <w:rPr>
          <w:rFonts w:ascii="宋体" w:eastAsia="宋体" w:hAnsi="宋体" w:cs="Times New Roman" w:hint="eastAsia"/>
          <w:szCs w:val="24"/>
        </w:rPr>
        <w:t>7.6  工期要求：投标人在投标时对其所投项目应提交交货进度、交货计划等，在合同规定的时间内完成项目实施工作。</w:t>
      </w:r>
    </w:p>
    <w:p>
      <w:pPr>
        <w:ind w:firstLine="412" w:firstLineChars="196"/>
        <w:rPr>
          <w:rFonts w:ascii="宋体" w:eastAsia="宋体" w:hAnsi="宋体" w:cs="Times New Roman"/>
          <w:szCs w:val="24"/>
        </w:rPr>
      </w:pPr>
      <w:r>
        <w:rPr>
          <w:rFonts w:ascii="宋体" w:eastAsia="宋体" w:hAnsi="宋体" w:cs="Times New Roman" w:hint="eastAsia"/>
          <w:szCs w:val="24"/>
        </w:rPr>
        <w:t>7.7  投标人必须承担的设备运输、安装调试、验收检测和提供设备操作说明书、图纸等其他相关及类似的义务。</w:t>
      </w:r>
    </w:p>
    <w:p>
      <w:pPr>
        <w:rPr>
          <w:rFonts w:ascii="黑体" w:eastAsia="黑体" w:hAnsi="宋体" w:cs="Times New Roman"/>
          <w:sz w:val="24"/>
          <w:szCs w:val="24"/>
        </w:rPr>
      </w:pPr>
      <w:r>
        <w:rPr>
          <w:rFonts w:ascii="黑体" w:eastAsia="黑体" w:hAnsi="宋体" w:cs="Times New Roman" w:hint="eastAsia"/>
          <w:sz w:val="24"/>
          <w:szCs w:val="24"/>
        </w:rPr>
        <w:t>8．投标费用</w:t>
      </w:r>
    </w:p>
    <w:p>
      <w:pPr>
        <w:ind w:firstLine="412" w:firstLineChars="196"/>
        <w:rPr>
          <w:rFonts w:ascii="宋体" w:eastAsia="宋体" w:hAnsi="宋体" w:cs="Times New Roman"/>
          <w:szCs w:val="21"/>
        </w:rPr>
      </w:pPr>
      <w:r>
        <w:rPr>
          <w:rFonts w:ascii="宋体" w:eastAsia="宋体" w:hAnsi="宋体" w:cs="Times New Roman" w:hint="eastAsia"/>
          <w:szCs w:val="21"/>
        </w:rPr>
        <w:t>不论投标结果如何，投标人应承担其编制投标文件与递交投标文件所涉及的一切费用。</w:t>
      </w:r>
    </w:p>
    <w:p>
      <w:pPr>
        <w:rPr>
          <w:rFonts w:ascii="黑体" w:eastAsia="黑体" w:hAnsi="宋体" w:cs="Times New Roman"/>
          <w:sz w:val="24"/>
          <w:szCs w:val="24"/>
        </w:rPr>
      </w:pPr>
      <w:r>
        <w:rPr>
          <w:rFonts w:ascii="黑体" w:eastAsia="黑体" w:hAnsi="宋体" w:cs="Times New Roman" w:hint="eastAsia"/>
          <w:sz w:val="24"/>
          <w:szCs w:val="24"/>
        </w:rPr>
        <w:t>9．踏勘现场</w:t>
      </w:r>
    </w:p>
    <w:p>
      <w:pPr>
        <w:ind w:firstLine="412" w:firstLineChars="196"/>
        <w:rPr>
          <w:rFonts w:ascii="宋体" w:eastAsia="宋体" w:hAnsi="宋体" w:cs="Times New Roman"/>
          <w:szCs w:val="21"/>
        </w:rPr>
      </w:pPr>
      <w:r>
        <w:rPr>
          <w:rFonts w:ascii="宋体" w:eastAsia="宋体" w:hAnsi="宋体" w:cs="Times New Roman"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2" w:firstLineChars="196"/>
        <w:rPr>
          <w:rFonts w:ascii="宋体" w:eastAsia="宋体" w:hAnsi="宋体" w:cs="Times New Roman"/>
          <w:szCs w:val="24"/>
        </w:rPr>
      </w:pPr>
      <w:r>
        <w:rPr>
          <w:rFonts w:ascii="宋体" w:eastAsia="宋体" w:hAnsi="宋体" w:cs="Times New Roman" w:hint="eastAsia"/>
          <w:szCs w:val="24"/>
        </w:rPr>
        <w:t>9.2投标人及其人员经过采购人的允许，可以进入采购人的项目现场踏勘。若招标文件要求投标人于统一时间地点踏勘现场的，投标人应当按时前往。</w:t>
      </w:r>
    </w:p>
    <w:p>
      <w:pPr>
        <w:ind w:firstLine="412" w:firstLineChars="196"/>
        <w:rPr>
          <w:rFonts w:ascii="宋体" w:eastAsia="宋体" w:hAnsi="宋体" w:cs="Times New Roman"/>
          <w:szCs w:val="24"/>
        </w:rPr>
      </w:pPr>
      <w:r>
        <w:rPr>
          <w:rFonts w:ascii="宋体" w:eastAsia="宋体" w:hAnsi="宋体" w:cs="Times New Roman" w:hint="eastAsia"/>
          <w:szCs w:val="24"/>
        </w:rPr>
        <w:t>9.3采购人应当通过政府集中采购机构向投标人提供有关现场的书面资料和数据。</w:t>
      </w:r>
    </w:p>
    <w:p>
      <w:pPr>
        <w:ind w:firstLine="412" w:firstLineChars="196"/>
        <w:rPr>
          <w:rFonts w:ascii="宋体" w:eastAsia="宋体" w:hAnsi="宋体" w:cs="Times New Roman"/>
          <w:szCs w:val="24"/>
        </w:rPr>
      </w:pPr>
      <w:r>
        <w:rPr>
          <w:rFonts w:ascii="宋体" w:eastAsia="宋体" w:hAnsi="宋体" w:cs="Times New Roman" w:hint="eastAsia"/>
          <w:szCs w:val="24"/>
        </w:rPr>
        <w:t>9.4任何人或任何组织在踏勘现场时向投标人提供的任何书面资料或口头承诺，未经政府集中采购机构在网上发布或书面通知，均作无效处理。</w:t>
      </w:r>
    </w:p>
    <w:p>
      <w:pPr>
        <w:ind w:firstLine="412" w:firstLineChars="196"/>
        <w:rPr>
          <w:rFonts w:ascii="宋体" w:eastAsia="宋体" w:hAnsi="宋体" w:cs="Times New Roman"/>
          <w:szCs w:val="24"/>
        </w:rPr>
      </w:pPr>
      <w:r>
        <w:rPr>
          <w:rFonts w:ascii="宋体" w:eastAsia="宋体" w:hAnsi="宋体" w:cs="Times New Roman"/>
          <w:szCs w:val="21"/>
        </w:rPr>
        <w:t>9</w:t>
      </w: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未参与踏勘现场不作为否定投标人资格的理由。</w:t>
      </w:r>
    </w:p>
    <w:p>
      <w:pPr>
        <w:rPr>
          <w:rFonts w:ascii="宋体" w:eastAsia="宋体" w:hAnsi="宋体" w:cs="Times New Roman"/>
          <w:szCs w:val="21"/>
        </w:rPr>
      </w:pPr>
      <w:r>
        <w:rPr>
          <w:rFonts w:ascii="黑体" w:eastAsia="黑体" w:hAnsi="宋体" w:cs="Times New Roman" w:hint="eastAsia"/>
          <w:sz w:val="24"/>
          <w:szCs w:val="24"/>
        </w:rPr>
        <w:t>1</w:t>
      </w:r>
      <w:r>
        <w:rPr>
          <w:rFonts w:ascii="黑体" w:eastAsia="黑体" w:hAnsi="宋体" w:cs="Times New Roman"/>
          <w:sz w:val="24"/>
          <w:szCs w:val="24"/>
        </w:rPr>
        <w:t>0</w:t>
      </w:r>
      <w:r>
        <w:rPr>
          <w:rFonts w:ascii="黑体" w:eastAsia="黑体" w:hAnsi="宋体" w:cs="Times New Roman" w:hint="eastAsia"/>
          <w:sz w:val="24"/>
          <w:szCs w:val="24"/>
        </w:rPr>
        <w:t>．标前会议</w:t>
      </w:r>
    </w:p>
    <w:p>
      <w:pPr>
        <w:ind w:firstLine="412" w:firstLineChars="196"/>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0</w:t>
      </w:r>
      <w:r>
        <w:rPr>
          <w:rFonts w:ascii="宋体" w:eastAsia="宋体" w:hAnsi="宋体" w:cs="Times New Roman" w:hint="eastAsia"/>
          <w:szCs w:val="21"/>
        </w:rPr>
        <w:t>.</w:t>
      </w:r>
      <w:r>
        <w:rPr>
          <w:rFonts w:ascii="宋体" w:eastAsia="宋体" w:hAnsi="宋体" w:cs="Times New Roman"/>
          <w:szCs w:val="21"/>
        </w:rPr>
        <w:t>1</w:t>
      </w:r>
      <w:r>
        <w:rPr>
          <w:rFonts w:ascii="宋体" w:eastAsia="宋体" w:hAnsi="宋体" w:cs="Times New Roman"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2" w:firstLineChars="196"/>
        <w:rPr>
          <w:rFonts w:ascii="宋体" w:eastAsia="宋体" w:hAnsi="宋体" w:cs="Times New Roman"/>
          <w:szCs w:val="21"/>
        </w:rPr>
      </w:pPr>
      <w:r>
        <w:rPr>
          <w:rFonts w:ascii="宋体" w:eastAsia="宋体" w:hAnsi="宋体" w:cs="Times New Roman"/>
          <w:szCs w:val="24"/>
        </w:rPr>
        <w:t>10</w:t>
      </w:r>
      <w:r>
        <w:rPr>
          <w:rFonts w:ascii="宋体" w:eastAsia="宋体" w:hAnsi="宋体" w:cs="Times New Roman" w:hint="eastAsia"/>
          <w:szCs w:val="24"/>
        </w:rPr>
        <w:t>.</w:t>
      </w:r>
      <w:r>
        <w:rPr>
          <w:rFonts w:ascii="宋体" w:eastAsia="宋体" w:hAnsi="宋体" w:cs="Times New Roman"/>
          <w:szCs w:val="24"/>
        </w:rPr>
        <w:t>2</w:t>
      </w:r>
      <w:r>
        <w:rPr>
          <w:rFonts w:ascii="宋体" w:eastAsia="宋体" w:hAnsi="宋体" w:cs="Times New Roman" w:hint="eastAsia"/>
          <w:szCs w:val="24"/>
        </w:rPr>
        <w:t>任何人或任何组织在标前会议时向投标人提供的任何书面资料或口头承诺，未经政府集中采购机构在网上发布或书面通知，均作无效处理。</w:t>
      </w:r>
    </w:p>
    <w:p>
      <w:pPr>
        <w:ind w:firstLine="412" w:firstLineChars="196"/>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0</w:t>
      </w:r>
      <w:r>
        <w:rPr>
          <w:rFonts w:ascii="宋体" w:eastAsia="宋体" w:hAnsi="宋体" w:cs="Times New Roman" w:hint="eastAsia"/>
          <w:szCs w:val="21"/>
        </w:rPr>
        <w:t>.</w:t>
      </w:r>
      <w:r>
        <w:rPr>
          <w:rFonts w:ascii="宋体" w:eastAsia="宋体" w:hAnsi="宋体" w:cs="Times New Roman"/>
          <w:szCs w:val="21"/>
        </w:rPr>
        <w:t>3</w:t>
      </w:r>
      <w:r>
        <w:rPr>
          <w:rFonts w:ascii="宋体" w:eastAsia="宋体" w:hAnsi="宋体" w:cs="Times New Roman" w:hint="eastAsia"/>
          <w:szCs w:val="21"/>
        </w:rPr>
        <w:t>未参与标前会议不作为否定投标人资格的理由。</w:t>
      </w:r>
      <w:bookmarkEnd w:id="21"/>
    </w:p>
    <w:p>
      <w:pPr>
        <w:keepNext/>
        <w:keepLines/>
        <w:numPr>
          <w:ilvl w:val="0"/>
          <w:numId w:val="8"/>
        </w:numPr>
        <w:adjustRightInd w:val="0"/>
        <w:spacing w:before="156" w:beforeLines="50" w:after="156" w:afterLines="50"/>
        <w:ind w:left="562" w:hanging="562"/>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招标文件</w:t>
      </w:r>
    </w:p>
    <w:p>
      <w:pPr>
        <w:rPr>
          <w:rFonts w:ascii="黑体" w:eastAsia="黑体" w:hAnsi="宋体" w:cs="Times New Roman"/>
          <w:sz w:val="24"/>
          <w:szCs w:val="24"/>
        </w:rPr>
      </w:pPr>
      <w:r>
        <w:rPr>
          <w:rFonts w:ascii="黑体" w:eastAsia="黑体" w:hAnsi="宋体" w:cs="Times New Roman" w:hint="eastAsia"/>
          <w:sz w:val="24"/>
          <w:szCs w:val="24"/>
        </w:rPr>
        <w:t>1</w:t>
      </w:r>
      <w:r>
        <w:rPr>
          <w:rFonts w:ascii="黑体" w:eastAsia="黑体" w:hAnsi="宋体" w:cs="Times New Roman"/>
          <w:sz w:val="24"/>
          <w:szCs w:val="24"/>
        </w:rPr>
        <w:t>1</w:t>
      </w:r>
      <w:r>
        <w:rPr>
          <w:rFonts w:ascii="黑体" w:eastAsia="黑体" w:hAnsi="宋体" w:cs="Times New Roman" w:hint="eastAsia"/>
          <w:sz w:val="24"/>
          <w:szCs w:val="24"/>
        </w:rPr>
        <w:t>．</w:t>
      </w:r>
      <w:bookmarkStart w:id="23" w:name="_Hlk72399819"/>
      <w:r>
        <w:rPr>
          <w:rFonts w:ascii="黑体" w:eastAsia="黑体" w:hAnsi="宋体" w:cs="Times New Roman" w:hint="eastAsia"/>
          <w:sz w:val="24"/>
          <w:szCs w:val="24"/>
        </w:rPr>
        <w:t>招标文件的编制与组成</w:t>
      </w:r>
    </w:p>
    <w:p>
      <w:pPr>
        <w:snapToGrid w:val="0"/>
        <w:ind w:firstLine="420" w:firstLineChars="20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1</w:t>
      </w:r>
      <w:r>
        <w:rPr>
          <w:rFonts w:ascii="宋体" w:eastAsia="宋体" w:hAnsi="宋体" w:cs="Times New Roman" w:hint="eastAsia"/>
          <w:szCs w:val="21"/>
        </w:rPr>
        <w:t>.1招标文件除以下内容外，政府集中采购机构在招标期间发出的澄清或修改等相关公告或通知内容，均是招标文件的组成部分，对投标人起约束作用；</w:t>
      </w:r>
    </w:p>
    <w:p>
      <w:pPr>
        <w:ind w:firstLine="412" w:firstLineChars="196"/>
        <w:rPr>
          <w:rFonts w:ascii="宋体" w:eastAsia="宋体" w:hAnsi="宋体" w:cs="Times New Roman"/>
          <w:szCs w:val="21"/>
        </w:rPr>
      </w:pPr>
      <w:r>
        <w:rPr>
          <w:rFonts w:ascii="宋体" w:eastAsia="宋体" w:hAnsi="宋体" w:cs="Times New Roman" w:hint="eastAsia"/>
          <w:szCs w:val="21"/>
        </w:rPr>
        <w:t>招标文件包括下列内容：</w:t>
      </w:r>
    </w:p>
    <w:p>
      <w:pPr>
        <w:ind w:left="420" w:firstLine="412" w:leftChars="200" w:firstLineChars="196"/>
        <w:rPr>
          <w:rFonts w:ascii="宋体" w:eastAsia="宋体" w:hAnsi="宋体" w:cs="Times New Roman"/>
          <w:b/>
          <w:szCs w:val="21"/>
        </w:rPr>
      </w:pPr>
      <w:r>
        <w:rPr>
          <w:rFonts w:ascii="宋体" w:eastAsia="宋体" w:hAnsi="宋体" w:cs="Times New Roman" w:hint="eastAsia"/>
          <w:b/>
          <w:szCs w:val="21"/>
        </w:rPr>
        <w:t>第一册  专用条款</w:t>
      </w:r>
    </w:p>
    <w:p>
      <w:pPr>
        <w:ind w:left="1079" w:leftChars="514"/>
        <w:rPr>
          <w:rFonts w:ascii="宋体" w:eastAsia="宋体" w:hAnsi="宋体" w:cs="Times New Roman"/>
          <w:b/>
          <w:szCs w:val="21"/>
        </w:rPr>
      </w:pPr>
      <w:r>
        <w:rPr>
          <w:rFonts w:ascii="宋体" w:eastAsia="宋体" w:hAnsi="宋体" w:cs="Times New Roman" w:hint="eastAsia"/>
          <w:b/>
          <w:szCs w:val="21"/>
        </w:rPr>
        <w:t>关键信息</w:t>
      </w:r>
    </w:p>
    <w:p>
      <w:pPr>
        <w:ind w:left="630" w:firstLine="412" w:leftChars="300" w:firstLineChars="196"/>
        <w:rPr>
          <w:rFonts w:ascii="宋体" w:eastAsia="宋体" w:hAnsi="宋体" w:cs="Times New Roman"/>
          <w:szCs w:val="21"/>
        </w:rPr>
      </w:pPr>
      <w:r>
        <w:rPr>
          <w:rFonts w:ascii="宋体" w:eastAsia="宋体" w:hAnsi="宋体" w:cs="Times New Roman" w:hint="eastAsia"/>
          <w:szCs w:val="21"/>
        </w:rPr>
        <w:t>第一章  招标公告</w:t>
      </w:r>
    </w:p>
    <w:p>
      <w:pPr>
        <w:ind w:left="630" w:firstLine="412" w:leftChars="300" w:firstLineChars="196"/>
        <w:rPr>
          <w:rFonts w:ascii="宋体" w:eastAsia="宋体" w:hAnsi="宋体" w:cs="Times New Roman"/>
          <w:szCs w:val="21"/>
        </w:rPr>
      </w:pPr>
      <w:r>
        <w:rPr>
          <w:rFonts w:ascii="宋体" w:eastAsia="宋体" w:hAnsi="宋体" w:cs="Times New Roman" w:hint="eastAsia"/>
          <w:szCs w:val="21"/>
        </w:rPr>
        <w:t>第二章  对通用条款的补充内容及其他关键信息</w:t>
      </w:r>
    </w:p>
    <w:p>
      <w:pPr>
        <w:ind w:left="630" w:firstLine="412" w:leftChars="300" w:firstLineChars="196"/>
        <w:rPr>
          <w:rFonts w:ascii="宋体" w:eastAsia="宋体" w:hAnsi="宋体" w:cs="Times New Roman"/>
          <w:szCs w:val="21"/>
        </w:rPr>
      </w:pPr>
      <w:r>
        <w:rPr>
          <w:rFonts w:ascii="宋体" w:eastAsia="宋体" w:hAnsi="宋体" w:cs="Times New Roman" w:hint="eastAsia"/>
          <w:szCs w:val="21"/>
        </w:rPr>
        <w:t>第三章  用户需求书</w:t>
      </w:r>
    </w:p>
    <w:p>
      <w:pPr>
        <w:ind w:left="630" w:firstLine="412" w:leftChars="300" w:firstLineChars="196"/>
        <w:rPr>
          <w:rFonts w:ascii="宋体" w:eastAsia="宋体" w:hAnsi="宋体" w:cs="Times New Roman"/>
          <w:szCs w:val="21"/>
        </w:rPr>
      </w:pPr>
      <w:r>
        <w:rPr>
          <w:rFonts w:ascii="Times New Roman" w:eastAsia="宋体" w:hAnsi="Times New Roman" w:cs="Times New Roman" w:hint="eastAsia"/>
          <w:szCs w:val="24"/>
        </w:rPr>
        <w:t>第四章投标文件格式及附件</w:t>
      </w:r>
    </w:p>
    <w:p>
      <w:pPr>
        <w:ind w:left="630" w:firstLine="412" w:leftChars="300" w:firstLineChars="196"/>
        <w:rPr>
          <w:rFonts w:ascii="宋体" w:eastAsia="宋体" w:hAnsi="宋体" w:cs="Times New Roman"/>
          <w:szCs w:val="21"/>
        </w:rPr>
      </w:pPr>
      <w:r>
        <w:rPr>
          <w:rFonts w:ascii="宋体" w:eastAsia="宋体" w:hAnsi="宋体" w:cs="Times New Roman" w:hint="eastAsia"/>
          <w:szCs w:val="21"/>
        </w:rPr>
        <w:t>第五章  合同条款及格式</w:t>
      </w:r>
    </w:p>
    <w:p>
      <w:pPr>
        <w:ind w:left="420" w:firstLine="412" w:leftChars="200" w:firstLineChars="196"/>
        <w:rPr>
          <w:rFonts w:ascii="宋体" w:eastAsia="宋体" w:hAnsi="宋体" w:cs="Times New Roman"/>
          <w:b/>
          <w:szCs w:val="21"/>
        </w:rPr>
      </w:pPr>
      <w:r>
        <w:rPr>
          <w:rFonts w:ascii="宋体" w:eastAsia="宋体" w:hAnsi="宋体" w:cs="Times New Roman" w:hint="eastAsia"/>
          <w:b/>
          <w:szCs w:val="21"/>
        </w:rPr>
        <w:t>第二册  通用条款</w:t>
      </w:r>
    </w:p>
    <w:p>
      <w:pPr>
        <w:ind w:left="630" w:firstLine="412" w:leftChars="300" w:firstLineChars="196"/>
        <w:rPr>
          <w:rFonts w:ascii="宋体" w:eastAsia="宋体" w:hAnsi="宋体" w:cs="Times New Roman"/>
          <w:szCs w:val="21"/>
        </w:rPr>
      </w:pPr>
      <w:r>
        <w:rPr>
          <w:rFonts w:ascii="宋体" w:eastAsia="宋体" w:hAnsi="宋体" w:cs="Times New Roman" w:hint="eastAsia"/>
          <w:szCs w:val="21"/>
        </w:rPr>
        <w:t>第一章  总则</w:t>
      </w:r>
    </w:p>
    <w:p>
      <w:pPr>
        <w:ind w:left="630" w:firstLine="412" w:leftChars="300" w:firstLineChars="196"/>
        <w:rPr>
          <w:rFonts w:ascii="宋体" w:eastAsia="宋体" w:hAnsi="宋体" w:cs="Times New Roman"/>
          <w:szCs w:val="21"/>
        </w:rPr>
      </w:pPr>
      <w:r>
        <w:rPr>
          <w:rFonts w:ascii="宋体" w:eastAsia="宋体" w:hAnsi="宋体" w:cs="Times New Roman" w:hint="eastAsia"/>
          <w:szCs w:val="21"/>
        </w:rPr>
        <w:t>第二章  招标文件</w:t>
      </w:r>
    </w:p>
    <w:p>
      <w:pPr>
        <w:ind w:left="630" w:firstLine="412" w:leftChars="300" w:firstLineChars="196"/>
        <w:rPr>
          <w:rFonts w:ascii="宋体" w:eastAsia="宋体" w:hAnsi="宋体" w:cs="Times New Roman"/>
          <w:szCs w:val="21"/>
        </w:rPr>
      </w:pPr>
      <w:r>
        <w:rPr>
          <w:rFonts w:ascii="宋体" w:eastAsia="宋体" w:hAnsi="宋体" w:cs="Times New Roman" w:hint="eastAsia"/>
          <w:szCs w:val="21"/>
        </w:rPr>
        <w:t>第三章  投标文件的编制</w:t>
      </w:r>
    </w:p>
    <w:p>
      <w:pPr>
        <w:ind w:left="630" w:firstLine="412" w:leftChars="300" w:firstLineChars="196"/>
        <w:rPr>
          <w:rFonts w:ascii="宋体" w:eastAsia="宋体" w:hAnsi="宋体" w:cs="Times New Roman"/>
          <w:szCs w:val="21"/>
        </w:rPr>
      </w:pPr>
      <w:r>
        <w:rPr>
          <w:rFonts w:ascii="宋体" w:eastAsia="宋体" w:hAnsi="宋体" w:cs="Times New Roman" w:hint="eastAsia"/>
          <w:szCs w:val="21"/>
        </w:rPr>
        <w:t>第四章  投标文件的递交</w:t>
      </w:r>
    </w:p>
    <w:p>
      <w:pPr>
        <w:ind w:left="630" w:firstLine="412" w:leftChars="300" w:firstLineChars="196"/>
        <w:rPr>
          <w:rFonts w:ascii="宋体" w:eastAsia="宋体" w:hAnsi="宋体" w:cs="Times New Roman"/>
          <w:szCs w:val="21"/>
        </w:rPr>
      </w:pPr>
      <w:r>
        <w:rPr>
          <w:rFonts w:ascii="宋体" w:eastAsia="宋体" w:hAnsi="宋体" w:cs="Times New Roman" w:hint="eastAsia"/>
          <w:szCs w:val="21"/>
        </w:rPr>
        <w:t>第五章  开标</w:t>
      </w:r>
    </w:p>
    <w:p>
      <w:pPr>
        <w:ind w:left="630" w:firstLine="412" w:leftChars="300" w:firstLineChars="196"/>
        <w:rPr>
          <w:rFonts w:ascii="宋体" w:eastAsia="宋体" w:hAnsi="宋体" w:cs="Times New Roman"/>
          <w:szCs w:val="21"/>
        </w:rPr>
      </w:pPr>
      <w:r>
        <w:rPr>
          <w:rFonts w:ascii="宋体" w:eastAsia="宋体" w:hAnsi="宋体" w:cs="Times New Roman" w:hint="eastAsia"/>
          <w:szCs w:val="21"/>
        </w:rPr>
        <w:t>第六章  评审要求</w:t>
      </w:r>
    </w:p>
    <w:p>
      <w:pPr>
        <w:ind w:left="630" w:firstLine="412" w:leftChars="300" w:firstLineChars="196"/>
        <w:rPr>
          <w:rFonts w:ascii="宋体" w:eastAsia="宋体" w:hAnsi="宋体" w:cs="Times New Roman"/>
          <w:szCs w:val="21"/>
        </w:rPr>
      </w:pPr>
      <w:r>
        <w:rPr>
          <w:rFonts w:ascii="宋体" w:eastAsia="宋体" w:hAnsi="宋体" w:cs="Times New Roman" w:hint="eastAsia"/>
          <w:szCs w:val="21"/>
        </w:rPr>
        <w:t>第七章  评审程序及评审方法</w:t>
      </w:r>
    </w:p>
    <w:p>
      <w:pPr>
        <w:ind w:left="630" w:firstLine="412" w:leftChars="300" w:firstLineChars="196"/>
        <w:rPr>
          <w:rFonts w:ascii="宋体" w:eastAsia="宋体" w:hAnsi="宋体" w:cs="Times New Roman"/>
          <w:szCs w:val="21"/>
        </w:rPr>
      </w:pPr>
      <w:r>
        <w:rPr>
          <w:rFonts w:ascii="宋体" w:eastAsia="宋体" w:hAnsi="宋体" w:cs="Times New Roman" w:hint="eastAsia"/>
          <w:szCs w:val="21"/>
        </w:rPr>
        <w:t>第八章  定标及公示</w:t>
      </w:r>
    </w:p>
    <w:p>
      <w:pPr>
        <w:ind w:left="630" w:firstLine="412" w:leftChars="300" w:firstLineChars="196"/>
        <w:rPr>
          <w:rFonts w:ascii="宋体" w:eastAsia="宋体" w:hAnsi="宋体" w:cs="Times New Roman"/>
          <w:szCs w:val="21"/>
        </w:rPr>
      </w:pPr>
      <w:r>
        <w:rPr>
          <w:rFonts w:ascii="宋体" w:eastAsia="宋体" w:hAnsi="宋体" w:cs="Times New Roman" w:hint="eastAsia"/>
          <w:szCs w:val="21"/>
        </w:rPr>
        <w:t>第九章  公开招标失败的后续处理</w:t>
      </w:r>
    </w:p>
    <w:p>
      <w:pPr>
        <w:ind w:left="630" w:firstLine="412" w:leftChars="300" w:firstLineChars="196"/>
        <w:rPr>
          <w:rFonts w:ascii="宋体" w:eastAsia="宋体" w:hAnsi="宋体" w:cs="Times New Roman"/>
          <w:szCs w:val="21"/>
        </w:rPr>
      </w:pPr>
      <w:r>
        <w:rPr>
          <w:rFonts w:ascii="宋体" w:eastAsia="宋体" w:hAnsi="宋体" w:cs="Times New Roman" w:hint="eastAsia"/>
          <w:szCs w:val="21"/>
        </w:rPr>
        <w:t>第十章  合同的授予与备案</w:t>
      </w:r>
    </w:p>
    <w:p>
      <w:pPr>
        <w:ind w:left="630" w:firstLine="412" w:leftChars="300" w:firstLineChars="196"/>
        <w:rPr>
          <w:rFonts w:ascii="宋体" w:eastAsia="宋体" w:hAnsi="宋体" w:cs="Times New Roman"/>
          <w:szCs w:val="21"/>
        </w:rPr>
      </w:pPr>
      <w:r>
        <w:rPr>
          <w:rFonts w:ascii="宋体" w:eastAsia="宋体" w:hAnsi="宋体" w:cs="Times New Roman" w:hint="eastAsia"/>
          <w:szCs w:val="21"/>
        </w:rPr>
        <w:t>第十一章  质疑处理</w:t>
      </w:r>
    </w:p>
    <w:p>
      <w:pPr>
        <w:ind w:firstLine="412" w:firstLineChars="196"/>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1</w:t>
      </w:r>
      <w:r>
        <w:rPr>
          <w:rFonts w:ascii="宋体" w:eastAsia="宋体" w:hAnsi="宋体" w:cs="Times New Roman"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2" w:firstLineChars="196"/>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1</w:t>
      </w:r>
      <w:r>
        <w:rPr>
          <w:rFonts w:ascii="宋体" w:eastAsia="宋体" w:hAnsi="宋体" w:cs="Times New Roman" w:hint="eastAsia"/>
          <w:szCs w:val="21"/>
        </w:rPr>
        <w:t>.3</w:t>
      </w:r>
      <w:r>
        <w:rPr>
          <w:rFonts w:ascii="宋体" w:eastAsia="宋体" w:hAnsi="宋体" w:cs="Times New Roman" w:hint="eastAsia"/>
          <w:szCs w:val="24"/>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eastAsia="黑体" w:hAnsi="宋体" w:cs="Times New Roman"/>
          <w:sz w:val="24"/>
          <w:szCs w:val="24"/>
        </w:rPr>
      </w:pPr>
      <w:r>
        <w:rPr>
          <w:rFonts w:ascii="黑体" w:eastAsia="黑体" w:hAnsi="宋体" w:cs="Times New Roman" w:hint="eastAsia"/>
          <w:sz w:val="24"/>
          <w:szCs w:val="24"/>
        </w:rPr>
        <w:t>1</w:t>
      </w:r>
      <w:r>
        <w:rPr>
          <w:rFonts w:ascii="黑体" w:eastAsia="黑体" w:hAnsi="宋体" w:cs="Times New Roman"/>
          <w:sz w:val="24"/>
          <w:szCs w:val="24"/>
        </w:rPr>
        <w:t>2</w:t>
      </w:r>
      <w:r>
        <w:rPr>
          <w:rFonts w:ascii="黑体" w:eastAsia="黑体" w:hAnsi="宋体" w:cs="Times New Roman" w:hint="eastAsia"/>
          <w:sz w:val="24"/>
          <w:szCs w:val="24"/>
        </w:rPr>
        <w:t>．招标文件的澄清</w:t>
      </w:r>
    </w:p>
    <w:p>
      <w:pPr>
        <w:ind w:firstLine="412" w:firstLineChars="196"/>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2</w:t>
      </w:r>
      <w:r>
        <w:rPr>
          <w:rFonts w:ascii="宋体" w:eastAsia="宋体" w:hAnsi="宋体" w:cs="Times New Roman" w:hint="eastAsia"/>
          <w:szCs w:val="21"/>
        </w:rPr>
        <w:t>.1招标文件澄清的目的是澄清、解答投标人在查阅招标文件后或现场踏勘中可能提出的与投标有关的疑问或询问。</w:t>
      </w:r>
    </w:p>
    <w:p>
      <w:pPr>
        <w:ind w:firstLine="412" w:firstLineChars="196"/>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2</w:t>
      </w:r>
      <w:r>
        <w:rPr>
          <w:rFonts w:ascii="宋体" w:eastAsia="宋体" w:hAnsi="宋体" w:cs="Times New Roman" w:hint="eastAsia"/>
          <w:szCs w:val="21"/>
        </w:rPr>
        <w:t>.2投标人如对招标文件内容有疑问，应当在招标公告规定的澄清（提问）截止时间前以网上提问的形式通过网上政府采购系统提交政府集中采购机构。</w:t>
      </w:r>
    </w:p>
    <w:p>
      <w:pPr>
        <w:ind w:firstLine="412" w:firstLineChars="196"/>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2</w:t>
      </w:r>
      <w:r>
        <w:rPr>
          <w:rFonts w:ascii="宋体" w:eastAsia="宋体" w:hAnsi="宋体" w:cs="Times New Roman"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eastAsia="宋体" w:hAnsi="宋体" w:cs="Times New Roman"/>
          <w:szCs w:val="21"/>
        </w:rPr>
        <w:t>3.3</w:t>
      </w:r>
      <w:r>
        <w:rPr>
          <w:rFonts w:ascii="宋体" w:eastAsia="宋体" w:hAnsi="宋体" w:cs="Times New Roman" w:hint="eastAsia"/>
          <w:szCs w:val="21"/>
        </w:rPr>
        <w:t>、1</w:t>
      </w:r>
      <w:r>
        <w:rPr>
          <w:rFonts w:ascii="宋体" w:eastAsia="宋体" w:hAnsi="宋体" w:cs="Times New Roman"/>
          <w:szCs w:val="21"/>
        </w:rPr>
        <w:t>3.4</w:t>
      </w:r>
      <w:r>
        <w:rPr>
          <w:rFonts w:ascii="宋体" w:eastAsia="宋体" w:hAnsi="宋体" w:cs="Times New Roman" w:hint="eastAsia"/>
          <w:szCs w:val="21"/>
        </w:rPr>
        <w:t>款规定执行。</w:t>
      </w:r>
    </w:p>
    <w:p>
      <w:pPr>
        <w:rPr>
          <w:rFonts w:ascii="黑体" w:eastAsia="黑体" w:hAnsi="宋体" w:cs="Times New Roman"/>
          <w:sz w:val="24"/>
          <w:szCs w:val="24"/>
        </w:rPr>
      </w:pPr>
      <w:r>
        <w:rPr>
          <w:rFonts w:ascii="黑体" w:eastAsia="黑体" w:hAnsi="宋体" w:cs="Times New Roman"/>
          <w:sz w:val="24"/>
          <w:szCs w:val="24"/>
        </w:rPr>
        <w:t>1</w:t>
      </w:r>
      <w:r>
        <w:rPr>
          <w:rFonts w:ascii="黑体" w:eastAsia="黑体" w:hAnsi="宋体" w:cs="Times New Roman" w:hint="eastAsia"/>
          <w:sz w:val="24"/>
          <w:szCs w:val="24"/>
        </w:rPr>
        <w:t>3．招标文件的修改</w:t>
      </w:r>
    </w:p>
    <w:p>
      <w:pPr>
        <w:ind w:firstLine="412" w:firstLineChars="196"/>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3.1招标文件发出后，在投标截止日期前任何时候，确需要变更招标文件内容的，政府集中采购机构可主动或在解答投标人提出的澄清问题时对招标文件进行修改。</w:t>
      </w:r>
    </w:p>
    <w:p>
      <w:pPr>
        <w:ind w:firstLine="412" w:firstLineChars="196"/>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3.2招标文件的修改以书面形式（包括政府集中采购机构网站发布方式，如更正公告等）发送给所有投标人，招标文件的修改内容作为招标文件的组成部分，并具有约束力。</w:t>
      </w:r>
    </w:p>
    <w:p>
      <w:pPr>
        <w:ind w:firstLine="412" w:firstLineChars="196"/>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2" w:firstLineChars="196"/>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23"/>
    </w:p>
    <w:p>
      <w:pPr>
        <w:keepNext/>
        <w:keepLines/>
        <w:numPr>
          <w:ilvl w:val="0"/>
          <w:numId w:val="8"/>
        </w:numPr>
        <w:adjustRightInd w:val="0"/>
        <w:spacing w:before="156" w:beforeLines="50" w:after="156" w:afterLines="50"/>
        <w:ind w:left="562" w:hanging="562"/>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投标文件的编制</w:t>
      </w:r>
    </w:p>
    <w:p>
      <w:pPr>
        <w:rPr>
          <w:rFonts w:ascii="黑体" w:eastAsia="黑体" w:hAnsi="宋体" w:cs="Times New Roman"/>
          <w:sz w:val="24"/>
          <w:szCs w:val="24"/>
        </w:rPr>
      </w:pPr>
      <w:r>
        <w:rPr>
          <w:rFonts w:ascii="黑体" w:eastAsia="黑体" w:hAnsi="宋体" w:cs="Times New Roman" w:hint="eastAsia"/>
          <w:sz w:val="24"/>
          <w:szCs w:val="24"/>
        </w:rPr>
        <w:t>14．</w:t>
      </w:r>
      <w:bookmarkStart w:id="24" w:name="_Hlk72400236"/>
      <w:r>
        <w:rPr>
          <w:rFonts w:ascii="黑体" w:eastAsia="黑体" w:hAnsi="宋体" w:cs="Times New Roman" w:hint="eastAsia"/>
          <w:sz w:val="24"/>
          <w:szCs w:val="24"/>
        </w:rPr>
        <w:t>投标文件的语言及度量单位</w:t>
      </w:r>
    </w:p>
    <w:p>
      <w:pPr>
        <w:ind w:firstLine="412" w:firstLineChars="196"/>
        <w:rPr>
          <w:rFonts w:ascii="宋体" w:eastAsia="宋体" w:hAnsi="宋体" w:cs="Times New Roman"/>
          <w:szCs w:val="21"/>
        </w:rPr>
      </w:pPr>
      <w:r>
        <w:rPr>
          <w:rFonts w:ascii="宋体" w:eastAsia="宋体" w:hAnsi="宋体" w:cs="Times New Roman" w:hint="eastAsia"/>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2" w:firstLineChars="196"/>
        <w:rPr>
          <w:rFonts w:ascii="宋体" w:eastAsia="宋体" w:hAnsi="宋体" w:cs="Times New Roman"/>
          <w:szCs w:val="21"/>
        </w:rPr>
      </w:pPr>
      <w:r>
        <w:rPr>
          <w:rFonts w:ascii="宋体" w:eastAsia="宋体" w:hAnsi="宋体" w:cs="Times New Roman" w:hint="eastAsia"/>
          <w:szCs w:val="21"/>
        </w:rPr>
        <w:t>14.2 除技术规范另有规定外，投标文件使用的度量单位，均采用中华人民共和国法定计量单位。</w:t>
      </w:r>
      <w:bookmarkEnd w:id="24"/>
    </w:p>
    <w:p>
      <w:pPr>
        <w:rPr>
          <w:rFonts w:ascii="黑体" w:eastAsia="黑体" w:hAnsi="宋体" w:cs="Times New Roman"/>
          <w:sz w:val="24"/>
          <w:szCs w:val="24"/>
        </w:rPr>
      </w:pPr>
      <w:r>
        <w:rPr>
          <w:rFonts w:ascii="黑体" w:eastAsia="黑体" w:hAnsi="宋体" w:cs="Times New Roman" w:hint="eastAsia"/>
          <w:sz w:val="24"/>
          <w:szCs w:val="24"/>
        </w:rPr>
        <w:t>15．</w:t>
      </w:r>
      <w:bookmarkStart w:id="25" w:name="_Hlk72401567"/>
      <w:r>
        <w:rPr>
          <w:rFonts w:ascii="黑体" w:eastAsia="黑体" w:hAnsi="宋体" w:cs="Times New Roman" w:hint="eastAsia"/>
          <w:sz w:val="24"/>
          <w:szCs w:val="24"/>
        </w:rPr>
        <w:t>投标文件的组成</w:t>
      </w:r>
    </w:p>
    <w:p>
      <w:pPr>
        <w:ind w:firstLine="412" w:firstLineChars="196"/>
        <w:rPr>
          <w:rFonts w:ascii="宋体" w:eastAsia="宋体" w:hAnsi="宋体" w:cs="Times New Roman"/>
          <w:szCs w:val="21"/>
        </w:rPr>
      </w:pPr>
      <w:r>
        <w:rPr>
          <w:rFonts w:ascii="宋体" w:eastAsia="宋体" w:hAnsi="宋体" w:cs="Times New Roman" w:hint="eastAsia"/>
          <w:szCs w:val="21"/>
        </w:rPr>
        <w:t>具体内容在招标文件专用条款中进行规定。</w:t>
      </w:r>
    </w:p>
    <w:p>
      <w:pPr>
        <w:rPr>
          <w:rFonts w:ascii="黑体" w:eastAsia="黑体" w:hAnsi="宋体" w:cs="Times New Roman"/>
          <w:sz w:val="24"/>
          <w:szCs w:val="24"/>
        </w:rPr>
      </w:pPr>
      <w:r>
        <w:rPr>
          <w:rFonts w:ascii="黑体" w:eastAsia="黑体" w:hAnsi="宋体" w:cs="Times New Roman"/>
          <w:sz w:val="24"/>
          <w:szCs w:val="24"/>
        </w:rPr>
        <w:t>16．投标文件格式</w:t>
      </w:r>
    </w:p>
    <w:p>
      <w:pPr>
        <w:ind w:firstLine="412" w:firstLineChars="196"/>
        <w:rPr>
          <w:rFonts w:ascii="宋体" w:eastAsia="宋体" w:hAnsi="宋体" w:cs="Times New Roman"/>
          <w:szCs w:val="21"/>
        </w:rPr>
      </w:pPr>
      <w:r>
        <w:rPr>
          <w:rFonts w:ascii="宋体" w:eastAsia="宋体" w:hAnsi="宋体" w:cs="Times New Roman" w:hint="eastAsia"/>
          <w:szCs w:val="21"/>
        </w:rPr>
        <w:t>投标文件包括本通用条款第</w:t>
      </w:r>
      <w:r>
        <w:rPr>
          <w:rFonts w:ascii="宋体" w:eastAsia="宋体" w:hAnsi="宋体" w:cs="Times New Roman"/>
          <w:szCs w:val="21"/>
        </w:rPr>
        <w:t>15条中规定的内容。如招标文件提供了投标文件格式，则</w:t>
      </w:r>
      <w:r>
        <w:rPr>
          <w:rFonts w:ascii="宋体" w:eastAsia="宋体" w:hAnsi="宋体" w:cs="Times New Roman" w:hint="eastAsia"/>
          <w:b/>
          <w:bCs/>
          <w:szCs w:val="21"/>
        </w:rPr>
        <w:t>投标人提交的投标文件应毫无例外地使用招标文件所提供的相应格式</w:t>
      </w:r>
      <w:r>
        <w:rPr>
          <w:rFonts w:ascii="宋体" w:eastAsia="宋体" w:hAnsi="宋体" w:cs="Times New Roman" w:hint="eastAsia"/>
          <w:szCs w:val="21"/>
        </w:rPr>
        <w:t>（表格均可按同样格式扩展）。</w:t>
      </w:r>
    </w:p>
    <w:p>
      <w:pPr>
        <w:rPr>
          <w:rFonts w:ascii="黑体" w:eastAsia="黑体" w:hAnsi="宋体" w:cs="Times New Roman"/>
          <w:sz w:val="24"/>
          <w:szCs w:val="24"/>
        </w:rPr>
      </w:pPr>
      <w:r>
        <w:rPr>
          <w:rFonts w:ascii="黑体" w:eastAsia="黑体" w:hAnsi="宋体" w:cs="Times New Roman" w:hint="eastAsia"/>
          <w:sz w:val="24"/>
          <w:szCs w:val="24"/>
        </w:rPr>
        <w:t>17．投标货币</w:t>
      </w:r>
    </w:p>
    <w:p>
      <w:pPr>
        <w:ind w:firstLine="412" w:firstLineChars="196"/>
        <w:rPr>
          <w:rFonts w:ascii="宋体" w:eastAsia="宋体" w:hAnsi="宋体" w:cs="Times New Roman"/>
          <w:szCs w:val="21"/>
        </w:rPr>
      </w:pPr>
      <w:r>
        <w:rPr>
          <w:rFonts w:ascii="宋体" w:eastAsia="宋体" w:hAnsi="宋体" w:cs="Times New Roman" w:hint="eastAsia"/>
          <w:szCs w:val="21"/>
        </w:rPr>
        <w:t>本项目的投标报价应以人民币计。</w:t>
      </w:r>
      <w:bookmarkEnd w:id="25"/>
    </w:p>
    <w:p>
      <w:pPr>
        <w:rPr>
          <w:rFonts w:ascii="黑体" w:eastAsia="黑体" w:hAnsi="宋体" w:cs="Times New Roman"/>
          <w:sz w:val="24"/>
          <w:szCs w:val="24"/>
        </w:rPr>
      </w:pPr>
      <w:r>
        <w:rPr>
          <w:rFonts w:ascii="黑体" w:eastAsia="黑体" w:hAnsi="宋体" w:cs="Times New Roman" w:hint="eastAsia"/>
          <w:sz w:val="24"/>
          <w:szCs w:val="24"/>
        </w:rPr>
        <w:t>18．</w:t>
      </w:r>
      <w:bookmarkStart w:id="26" w:name="_Hlk72401735"/>
      <w:r>
        <w:rPr>
          <w:rFonts w:ascii="黑体" w:eastAsia="黑体" w:hAnsi="宋体" w:cs="Times New Roman" w:hint="eastAsia"/>
          <w:sz w:val="24"/>
          <w:szCs w:val="24"/>
        </w:rPr>
        <w:t>证明投标文件投标技术方案的合格性和符合招标文件规定的文件要求</w:t>
      </w:r>
    </w:p>
    <w:p>
      <w:pPr>
        <w:ind w:firstLine="412" w:firstLineChars="196"/>
        <w:rPr>
          <w:rFonts w:ascii="宋体" w:eastAsia="宋体" w:hAnsi="宋体" w:cs="Times New Roman"/>
          <w:szCs w:val="21"/>
        </w:rPr>
      </w:pPr>
      <w:r>
        <w:rPr>
          <w:rFonts w:ascii="宋体" w:eastAsia="宋体" w:hAnsi="宋体" w:cs="Times New Roman" w:hint="eastAsia"/>
          <w:szCs w:val="21"/>
        </w:rPr>
        <w:t>18</w:t>
      </w:r>
      <w:r>
        <w:rPr>
          <w:rFonts w:ascii="宋体" w:eastAsia="宋体" w:hAnsi="宋体" w:cs="Times New Roman"/>
          <w:szCs w:val="21"/>
        </w:rPr>
        <w:t xml:space="preserve">.1 </w:t>
      </w:r>
      <w:r>
        <w:rPr>
          <w:rFonts w:ascii="宋体" w:eastAsia="宋体" w:hAnsi="宋体" w:cs="Times New Roman" w:hint="eastAsia"/>
          <w:szCs w:val="21"/>
        </w:rPr>
        <w:t>投标人应提交证明文件，证明其投标技术方案项下的货物和服务的合格性符合招标文件规定。该投标技术方案及其证明文件均作为投标文件组成部分。</w:t>
      </w:r>
    </w:p>
    <w:p>
      <w:pPr>
        <w:ind w:firstLine="412" w:firstLineChars="196"/>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8</w:t>
      </w:r>
      <w:r>
        <w:rPr>
          <w:rFonts w:ascii="宋体" w:eastAsia="宋体" w:hAnsi="宋体" w:cs="Times New Roman"/>
          <w:szCs w:val="21"/>
        </w:rPr>
        <w:t xml:space="preserve">.2 </w:t>
      </w:r>
      <w:r>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2" w:firstLineChars="196"/>
        <w:rPr>
          <w:rFonts w:ascii="宋体" w:eastAsia="宋体" w:hAnsi="宋体" w:cs="Times New Roman"/>
          <w:szCs w:val="21"/>
        </w:rPr>
      </w:pPr>
      <w:r>
        <w:rPr>
          <w:rFonts w:ascii="宋体" w:eastAsia="宋体" w:hAnsi="宋体" w:cs="Times New Roman" w:hint="eastAsia"/>
          <w:szCs w:val="21"/>
        </w:rPr>
        <w:t>18.2.1主要技术指标和性能的详细说明。</w:t>
      </w:r>
    </w:p>
    <w:p>
      <w:pPr>
        <w:ind w:firstLine="412" w:firstLineChars="196"/>
        <w:rPr>
          <w:rFonts w:ascii="宋体" w:eastAsia="宋体" w:hAnsi="宋体" w:cs="Times New Roman"/>
          <w:szCs w:val="21"/>
        </w:rPr>
      </w:pPr>
      <w:r>
        <w:rPr>
          <w:rFonts w:ascii="宋体" w:eastAsia="宋体" w:hAnsi="宋体" w:cs="Times New Roman" w:hint="eastAsia"/>
          <w:szCs w:val="21"/>
        </w:rPr>
        <w:t>18.2.</w:t>
      </w:r>
      <w:r>
        <w:rPr>
          <w:rFonts w:ascii="宋体" w:eastAsia="宋体" w:hAnsi="宋体" w:cs="Times New Roman"/>
          <w:szCs w:val="21"/>
        </w:rPr>
        <w:t>2</w:t>
      </w:r>
      <w:r>
        <w:rPr>
          <w:rFonts w:ascii="宋体" w:eastAsia="宋体" w:hAnsi="宋体" w:cs="Times New Roman" w:hint="eastAsia"/>
          <w:szCs w:val="21"/>
        </w:rPr>
        <w:t>投标产品从采购人开始使用至招标文件中规定的周期内正常、连续地使用所必须的备件和专用工具清单，包括备件和专用工具的货源及现行价格。</w:t>
      </w:r>
    </w:p>
    <w:p>
      <w:pPr>
        <w:ind w:firstLine="412" w:firstLineChars="196"/>
        <w:rPr>
          <w:rFonts w:ascii="宋体" w:eastAsia="宋体" w:hAnsi="宋体" w:cs="Times New Roman"/>
          <w:szCs w:val="21"/>
        </w:rPr>
      </w:pPr>
      <w:r>
        <w:rPr>
          <w:rFonts w:ascii="宋体" w:eastAsia="宋体" w:hAnsi="宋体" w:cs="Times New Roman" w:hint="eastAsia"/>
          <w:szCs w:val="21"/>
        </w:rPr>
        <w:t>18.2.</w:t>
      </w:r>
      <w:r>
        <w:rPr>
          <w:rFonts w:ascii="宋体" w:eastAsia="宋体" w:hAnsi="宋体" w:cs="Times New Roman"/>
          <w:szCs w:val="21"/>
        </w:rPr>
        <w:t>3</w:t>
      </w:r>
      <w:r>
        <w:rPr>
          <w:rFonts w:ascii="宋体" w:eastAsia="宋体" w:hAnsi="宋体" w:cs="Times New Roman"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2" w:firstLineChars="196"/>
        <w:rPr>
          <w:rFonts w:ascii="宋体" w:eastAsia="宋体" w:hAnsi="宋体" w:cs="Times New Roman"/>
          <w:szCs w:val="21"/>
        </w:rPr>
      </w:pPr>
      <w:r>
        <w:rPr>
          <w:rFonts w:ascii="宋体" w:eastAsia="宋体" w:hAnsi="宋体" w:cs="Times New Roman"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ascii="Times New Roman" w:eastAsia="宋体" w:hAnsi="Times New Roman" w:cs="Times New Roman" w:hint="eastAsia"/>
          <w:szCs w:val="24"/>
        </w:rPr>
        <w:t>清晰度要求能够使用电脑阅读、识别和判断</w:t>
      </w:r>
      <w:r>
        <w:rPr>
          <w:rFonts w:ascii="宋体" w:eastAsia="宋体" w:hAnsi="宋体" w:cs="Times New Roman" w:hint="eastAsia"/>
          <w:szCs w:val="21"/>
        </w:rPr>
        <w:t>；</w:t>
      </w:r>
    </w:p>
    <w:p>
      <w:pPr>
        <w:ind w:firstLine="412" w:firstLineChars="196"/>
        <w:rPr>
          <w:rFonts w:ascii="宋体" w:eastAsia="宋体" w:hAnsi="宋体" w:cs="Times New Roman"/>
          <w:szCs w:val="21"/>
        </w:rPr>
      </w:pPr>
      <w:r>
        <w:rPr>
          <w:rFonts w:ascii="宋体" w:eastAsia="宋体" w:hAnsi="宋体" w:cs="Times New Roman"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2" w:firstLineChars="196"/>
        <w:rPr>
          <w:rFonts w:ascii="宋体" w:eastAsia="宋体" w:hAnsi="宋体" w:cs="Times New Roman"/>
          <w:szCs w:val="21"/>
        </w:rPr>
      </w:pPr>
      <w:r>
        <w:rPr>
          <w:rFonts w:ascii="宋体" w:eastAsia="宋体" w:hAnsi="宋体" w:cs="Times New Roman" w:hint="eastAsia"/>
          <w:szCs w:val="21"/>
        </w:rPr>
        <w:t>18.3相关资料不符合18.2款要求的，评审委员会有权认定为投标技术方案不合格响应，其相关分数予以扣减或作投标无效处理。</w:t>
      </w:r>
    </w:p>
    <w:p>
      <w:pPr>
        <w:ind w:firstLine="412" w:firstLineChars="196"/>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8</w:t>
      </w:r>
      <w:r>
        <w:rPr>
          <w:rFonts w:ascii="宋体" w:eastAsia="宋体" w:hAnsi="宋体" w:cs="Times New Roman"/>
          <w:szCs w:val="21"/>
        </w:rPr>
        <w:t>.</w:t>
      </w:r>
      <w:r>
        <w:rPr>
          <w:rFonts w:ascii="宋体" w:eastAsia="宋体" w:hAnsi="宋体" w:cs="Times New Roman"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ascii="Times New Roman" w:eastAsia="宋体" w:hAnsi="Times New Roman" w:cs="Times New Roman" w:hint="eastAsia"/>
          <w:szCs w:val="24"/>
        </w:rPr>
        <w:t>满足要求</w:t>
      </w:r>
      <w:r>
        <w:rPr>
          <w:rFonts w:ascii="宋体" w:eastAsia="宋体" w:hAnsi="宋体" w:cs="Times New Roman" w:hint="eastAsia"/>
          <w:szCs w:val="21"/>
        </w:rPr>
        <w:t>，由评审委员会来评判。</w:t>
      </w:r>
    </w:p>
    <w:p>
      <w:pPr>
        <w:ind w:firstLine="412" w:firstLineChars="196"/>
        <w:rPr>
          <w:rFonts w:ascii="宋体" w:eastAsia="宋体" w:hAnsi="宋体" w:cs="Times New Roman"/>
          <w:szCs w:val="21"/>
        </w:rPr>
      </w:pPr>
      <w:r>
        <w:rPr>
          <w:rFonts w:ascii="宋体" w:eastAsia="宋体" w:hAnsi="宋体" w:cs="Times New Roman" w:hint="eastAsia"/>
          <w:szCs w:val="21"/>
        </w:rPr>
        <w:t>18.5除非另有规定或说明，投标人对同一项目投标时，不得同时提供两套或两套以上的投标方案。</w:t>
      </w:r>
      <w:bookmarkEnd w:id="26"/>
    </w:p>
    <w:p>
      <w:pPr>
        <w:rPr>
          <w:rFonts w:ascii="黑体" w:eastAsia="黑体" w:hAnsi="宋体" w:cs="Times New Roman"/>
          <w:sz w:val="24"/>
          <w:szCs w:val="24"/>
        </w:rPr>
      </w:pPr>
      <w:r>
        <w:rPr>
          <w:rFonts w:ascii="黑体" w:eastAsia="黑体" w:hAnsi="宋体" w:cs="Times New Roman" w:hint="eastAsia"/>
          <w:sz w:val="24"/>
          <w:szCs w:val="24"/>
        </w:rPr>
        <w:t>19．</w:t>
      </w:r>
      <w:bookmarkStart w:id="27" w:name="_Hlk72402034"/>
      <w:r>
        <w:rPr>
          <w:rFonts w:ascii="黑体" w:eastAsia="黑体" w:hAnsi="宋体" w:cs="Times New Roman" w:hint="eastAsia"/>
          <w:sz w:val="24"/>
          <w:szCs w:val="24"/>
        </w:rPr>
        <w:t>投标文件其他证明文件的要求</w:t>
      </w:r>
    </w:p>
    <w:p>
      <w:pPr>
        <w:rPr>
          <w:rFonts w:ascii="宋体" w:eastAsia="宋体" w:hAnsi="宋体" w:cs="Times New Roman"/>
          <w:color w:val="FF0000"/>
          <w:szCs w:val="21"/>
        </w:rPr>
      </w:pPr>
      <w:r>
        <w:rPr>
          <w:rFonts w:ascii="宋体" w:eastAsia="宋体" w:hAnsi="宋体" w:cs="Times New Roman"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28" w:name="_Hlk71407299"/>
      <w:bookmarkEnd w:id="28"/>
    </w:p>
    <w:p>
      <w:pPr>
        <w:ind w:firstLine="412" w:firstLineChars="196"/>
        <w:rPr>
          <w:rFonts w:ascii="宋体" w:eastAsia="宋体" w:hAnsi="宋体" w:cs="Times New Roman"/>
          <w:szCs w:val="21"/>
        </w:rPr>
      </w:pPr>
      <w:r>
        <w:rPr>
          <w:rFonts w:ascii="宋体" w:eastAsia="宋体" w:hAnsi="宋体" w:cs="Times New Roman"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eastAsia="黑体" w:hAnsi="宋体" w:cs="Times New Roman"/>
          <w:sz w:val="24"/>
          <w:szCs w:val="24"/>
        </w:rPr>
      </w:pPr>
      <w:r>
        <w:rPr>
          <w:rFonts w:ascii="黑体" w:eastAsia="黑体" w:hAnsi="宋体" w:cs="Times New Roman" w:hint="eastAsia"/>
          <w:sz w:val="24"/>
          <w:szCs w:val="24"/>
        </w:rPr>
        <w:t>20．投标有效期</w:t>
      </w:r>
    </w:p>
    <w:p>
      <w:pPr>
        <w:ind w:firstLine="412" w:firstLineChars="196"/>
        <w:rPr>
          <w:rFonts w:ascii="宋体" w:eastAsia="宋体" w:hAnsi="宋体" w:cs="Times New Roman"/>
          <w:szCs w:val="21"/>
        </w:rPr>
      </w:pPr>
      <w:bookmarkEnd w:id="27"/>
      <w:bookmarkStart w:id="29" w:name="_Hlk72402214"/>
      <w:r>
        <w:rPr>
          <w:rFonts w:ascii="宋体" w:eastAsia="宋体" w:hAnsi="宋体" w:cs="Times New Roman" w:hint="eastAsia"/>
          <w:szCs w:val="21"/>
        </w:rPr>
        <w:t>20.1 投标有效期为</w:t>
      </w:r>
      <w:r>
        <w:rPr>
          <w:rFonts w:ascii="Arial" w:eastAsia="宋体" w:hAnsi="Arial" w:cs="Arial" w:hint="eastAsia"/>
          <w:szCs w:val="21"/>
        </w:rPr>
        <w:t>从投标截止之日算起的日历天数。</w:t>
      </w:r>
      <w:r>
        <w:rPr>
          <w:rFonts w:ascii="宋体" w:eastAsia="宋体" w:hAnsi="宋体" w:cs="Times New Roman" w:hint="eastAsia"/>
          <w:szCs w:val="21"/>
        </w:rPr>
        <w:t>在此期限内，所有投标文件均保持有效。</w:t>
      </w:r>
    </w:p>
    <w:p>
      <w:pPr>
        <w:ind w:firstLine="412" w:firstLineChars="196"/>
        <w:rPr>
          <w:rFonts w:ascii="宋体" w:eastAsia="宋体" w:hAnsi="宋体" w:cs="Times New Roman"/>
          <w:szCs w:val="21"/>
        </w:rPr>
      </w:pPr>
      <w:r>
        <w:rPr>
          <w:rFonts w:ascii="宋体" w:eastAsia="宋体" w:hAnsi="宋体" w:cs="Times New Roman"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2" w:firstLineChars="196"/>
        <w:rPr>
          <w:rFonts w:ascii="宋体" w:eastAsia="宋体" w:hAnsi="宋体" w:cs="Times New Roman"/>
          <w:szCs w:val="21"/>
        </w:rPr>
      </w:pPr>
      <w:r>
        <w:rPr>
          <w:rFonts w:ascii="宋体" w:eastAsia="宋体" w:hAnsi="宋体" w:cs="Times New Roman" w:hint="eastAsia"/>
          <w:szCs w:val="21"/>
        </w:rPr>
        <w:t>20</w:t>
      </w:r>
      <w:r>
        <w:rPr>
          <w:rFonts w:ascii="宋体" w:eastAsia="宋体" w:hAnsi="宋体" w:cs="Times New Roman"/>
          <w:szCs w:val="21"/>
        </w:rPr>
        <w:t>.3</w:t>
      </w:r>
      <w:r>
        <w:rPr>
          <w:rFonts w:ascii="宋体" w:eastAsia="宋体" w:hAnsi="宋体" w:cs="Times New Roman" w:hint="eastAsia"/>
          <w:szCs w:val="21"/>
        </w:rPr>
        <w:t xml:space="preserve"> 中标供应商的投标文件有效期，截止于完成本招标文件规定的全部项目内容，并通过竣工验收及保修期结束。</w:t>
      </w:r>
      <w:bookmarkEnd w:id="29"/>
    </w:p>
    <w:p>
      <w:pPr>
        <w:rPr>
          <w:rFonts w:ascii="黑体" w:eastAsia="黑体" w:hAnsi="宋体" w:cs="Times New Roman"/>
          <w:sz w:val="24"/>
          <w:szCs w:val="24"/>
        </w:rPr>
      </w:pPr>
      <w:r>
        <w:rPr>
          <w:rFonts w:ascii="黑体" w:eastAsia="黑体" w:hAnsi="宋体" w:cs="Times New Roman" w:hint="eastAsia"/>
          <w:sz w:val="24"/>
          <w:szCs w:val="24"/>
        </w:rPr>
        <w:t>21．</w:t>
      </w:r>
      <w:bookmarkStart w:id="30" w:name="_Hlk72402325"/>
      <w:r>
        <w:rPr>
          <w:rFonts w:ascii="黑体" w:eastAsia="黑体" w:hAnsi="宋体" w:cs="Times New Roman" w:hint="eastAsia"/>
          <w:sz w:val="24"/>
          <w:szCs w:val="24"/>
        </w:rPr>
        <w:t xml:space="preserve">关于投标保证金 </w:t>
      </w:r>
    </w:p>
    <w:p>
      <w:pPr>
        <w:rPr>
          <w:rFonts w:ascii="宋体" w:eastAsia="宋体" w:hAnsi="宋体" w:cs="Times New Roman"/>
          <w:szCs w:val="21"/>
        </w:rPr>
      </w:pPr>
      <w:r>
        <w:rPr>
          <w:rFonts w:ascii="宋体" w:eastAsia="宋体" w:hAnsi="宋体" w:cs="Times New Roman" w:hint="eastAsia"/>
          <w:szCs w:val="21"/>
        </w:rPr>
        <w:t xml:space="preserve">    21.1 </w:t>
      </w:r>
      <w:r>
        <w:rPr>
          <w:rFonts w:ascii="Times New Roman" w:eastAsia="宋体" w:hAnsi="Times New Roman" w:cs="Times New Roman" w:hint="eastAsia"/>
          <w:szCs w:val="24"/>
        </w:rPr>
        <w:t>根据《</w:t>
      </w:r>
      <w:r>
        <w:rPr>
          <w:rFonts w:ascii="Times New Roman" w:eastAsia="宋体" w:hAnsi="Times New Roman" w:cs="Times New Roman"/>
          <w:szCs w:val="24"/>
        </w:rPr>
        <w:t>深圳市财政局关于明确政府采购保证金管理工作的通知</w:t>
      </w:r>
      <w:r>
        <w:rPr>
          <w:rFonts w:ascii="Times New Roman" w:eastAsia="宋体" w:hAnsi="Times New Roman" w:cs="Times New Roman" w:hint="eastAsia"/>
          <w:szCs w:val="24"/>
        </w:rPr>
        <w:t>》（深财购[</w:t>
      </w:r>
      <w:r>
        <w:rPr>
          <w:rFonts w:ascii="Times New Roman" w:eastAsia="宋体" w:hAnsi="Times New Roman" w:cs="Times New Roman"/>
          <w:szCs w:val="24"/>
        </w:rPr>
        <w:t>2019]42</w:t>
      </w:r>
      <w:r>
        <w:rPr>
          <w:rFonts w:ascii="Times New Roman" w:eastAsia="宋体" w:hAnsi="Times New Roman" w:cs="Times New Roman" w:hint="eastAsia"/>
          <w:szCs w:val="24"/>
        </w:rPr>
        <w:t>号）文的规定，本项目不收取投标保证金。</w:t>
      </w:r>
    </w:p>
    <w:p>
      <w:pPr>
        <w:rPr>
          <w:rFonts w:ascii="黑体" w:eastAsia="黑体" w:hAnsi="宋体" w:cs="Times New Roman"/>
          <w:sz w:val="24"/>
          <w:szCs w:val="24"/>
        </w:rPr>
      </w:pPr>
      <w:r>
        <w:rPr>
          <w:rFonts w:ascii="黑体" w:eastAsia="黑体" w:hAnsi="宋体" w:cs="Times New Roman" w:hint="eastAsia"/>
          <w:sz w:val="24"/>
          <w:szCs w:val="24"/>
        </w:rPr>
        <w:t>22．投标人的替代方案</w:t>
      </w:r>
    </w:p>
    <w:p>
      <w:pPr>
        <w:ind w:firstLine="412" w:firstLineChars="196"/>
        <w:rPr>
          <w:rFonts w:ascii="宋体" w:eastAsia="宋体" w:hAnsi="宋体" w:cs="Times New Roman"/>
          <w:szCs w:val="21"/>
        </w:rPr>
      </w:pPr>
      <w:r>
        <w:rPr>
          <w:rFonts w:ascii="宋体" w:eastAsia="宋体" w:hAnsi="宋体" w:cs="Times New Roman"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2" w:firstLineChars="196"/>
        <w:rPr>
          <w:rFonts w:ascii="宋体" w:eastAsia="宋体" w:hAnsi="宋体" w:cs="Times New Roman"/>
          <w:szCs w:val="21"/>
        </w:rPr>
      </w:pPr>
      <w:r>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End w:id="30"/>
    </w:p>
    <w:p>
      <w:pPr>
        <w:rPr>
          <w:rFonts w:ascii="黑体" w:eastAsia="黑体" w:hAnsi="宋体" w:cs="Times New Roman"/>
          <w:sz w:val="24"/>
          <w:szCs w:val="24"/>
        </w:rPr>
      </w:pPr>
      <w:r>
        <w:rPr>
          <w:rFonts w:ascii="黑体" w:eastAsia="黑体" w:hAnsi="宋体" w:cs="Times New Roman" w:hint="eastAsia"/>
          <w:sz w:val="24"/>
          <w:szCs w:val="24"/>
        </w:rPr>
        <w:t>23．</w:t>
      </w:r>
      <w:bookmarkStart w:id="31" w:name="_Hlk72402860"/>
      <w:r>
        <w:rPr>
          <w:rFonts w:ascii="黑体" w:eastAsia="黑体" w:hAnsi="宋体" w:cs="Times New Roman"/>
          <w:sz w:val="24"/>
          <w:szCs w:val="24"/>
        </w:rPr>
        <w:t>投标文件的</w:t>
      </w:r>
      <w:r>
        <w:rPr>
          <w:rFonts w:ascii="黑体" w:eastAsia="黑体" w:hAnsi="宋体" w:cs="Times New Roman" w:hint="eastAsia"/>
          <w:sz w:val="24"/>
          <w:szCs w:val="24"/>
        </w:rPr>
        <w:t>制作</w:t>
      </w:r>
      <w:r>
        <w:rPr>
          <w:rFonts w:ascii="黑体" w:eastAsia="黑体" w:hAnsi="宋体" w:cs="Times New Roman"/>
          <w:sz w:val="24"/>
          <w:szCs w:val="24"/>
        </w:rPr>
        <w:t>要求</w:t>
      </w:r>
    </w:p>
    <w:p>
      <w:pPr>
        <w:ind w:firstLine="412" w:firstLineChars="196"/>
        <w:rPr>
          <w:rFonts w:ascii="宋体" w:eastAsia="宋体" w:hAnsi="宋体" w:cs="Times New Roman"/>
          <w:szCs w:val="24"/>
        </w:rPr>
      </w:pPr>
      <w:r>
        <w:rPr>
          <w:rFonts w:ascii="宋体" w:eastAsia="宋体" w:hAnsi="宋体" w:cs="Times New Roman" w:hint="eastAsia"/>
          <w:szCs w:val="24"/>
        </w:rPr>
        <w:t>23.1投标人应准备所投项目的电子投标文件一份。此电子投标文件须由投标人根据政府集中采购机构提供的后缀名为</w:t>
      </w:r>
      <w:r>
        <w:rPr>
          <w:rFonts w:ascii="宋体" w:eastAsia="宋体" w:hAnsi="宋体" w:cs="Times New Roman"/>
          <w:szCs w:val="24"/>
        </w:rPr>
        <w:t>.szczf</w:t>
      </w:r>
      <w:r>
        <w:rPr>
          <w:rFonts w:ascii="宋体" w:eastAsia="宋体" w:hAnsi="宋体" w:cs="Times New Roman" w:hint="eastAsia"/>
          <w:szCs w:val="24"/>
        </w:rPr>
        <w:t>.szczf的电子招标文件，下载并使用相应的深圳智慧采购平台投标文件制作专用软件打开招标文件（.szczf格式）【下载地址：http://zfcg.szggzy.com/TPBidder/DownLoad/深圳市智慧采购平台投标文件制作专用软件.zip】。《投标文件制作软件》《投标文件制作软件》。</w:t>
      </w:r>
    </w:p>
    <w:p>
      <w:pPr>
        <w:ind w:firstLine="412" w:firstLineChars="196"/>
        <w:rPr>
          <w:rFonts w:ascii="宋体" w:eastAsia="宋体" w:hAnsi="宋体" w:cs="Times New Roman"/>
          <w:szCs w:val="24"/>
        </w:rPr>
      </w:pPr>
      <w:r>
        <w:rPr>
          <w:rFonts w:ascii="宋体" w:eastAsia="宋体" w:hAnsi="宋体" w:cs="Times New Roman" w:hint="eastAsia"/>
          <w:szCs w:val="24"/>
        </w:rPr>
        <w:t>23.2投标人在使用《投标文件制作软件》《投标文件制作软件》编制投标书时须注意：</w:t>
      </w:r>
    </w:p>
    <w:p>
      <w:pPr>
        <w:ind w:firstLine="412" w:firstLineChars="196"/>
        <w:rPr>
          <w:rFonts w:ascii="宋体" w:eastAsia="宋体" w:hAnsi="宋体" w:cs="Times New Roman"/>
          <w:szCs w:val="24"/>
        </w:rPr>
      </w:pPr>
      <w:r>
        <w:rPr>
          <w:rFonts w:ascii="宋体" w:eastAsia="宋体" w:hAnsi="宋体" w:cs="Times New Roman" w:hint="eastAsia"/>
          <w:szCs w:val="24"/>
        </w:rPr>
        <w:t>23.2.1导入《投标文件制作软件》《投标文件制作软件》的招标文件项目编号、包号应与以此制作的投标文件项目编号、包号一致。例如，不能将甲项目A包的招标书导入《投标文件制作软件》，制作乙项目B包的投标书。</w:t>
      </w:r>
    </w:p>
    <w:p>
      <w:pPr>
        <w:ind w:firstLine="412" w:firstLineChars="196"/>
        <w:rPr>
          <w:rFonts w:ascii="宋体" w:eastAsia="宋体" w:hAnsi="宋体" w:cs="Times New Roman"/>
          <w:szCs w:val="24"/>
        </w:rPr>
      </w:pPr>
      <w:r>
        <w:rPr>
          <w:rFonts w:ascii="宋体" w:eastAsia="宋体" w:hAnsi="宋体" w:cs="Times New Roman" w:hint="eastAsia"/>
          <w:szCs w:val="24"/>
        </w:rPr>
        <w:t>23.2.2不能用非本公司的电子密钥加密本公司的投标文件，或者用其它公司的登录用户上传本公司的投标文件。</w:t>
      </w:r>
    </w:p>
    <w:p>
      <w:pPr>
        <w:ind w:firstLine="412" w:firstLineChars="196"/>
        <w:rPr>
          <w:rFonts w:ascii="宋体" w:eastAsia="宋体" w:hAnsi="宋体" w:cs="Times New Roman"/>
          <w:szCs w:val="24"/>
        </w:rPr>
      </w:pPr>
      <w:r>
        <w:rPr>
          <w:rFonts w:ascii="宋体" w:eastAsia="宋体" w:hAnsi="宋体" w:cs="Times New Roman" w:hint="eastAsia"/>
          <w:szCs w:val="24"/>
        </w:rPr>
        <w:t>23.2.3要求用《投标文件制作软件》编制投标书的包，不能用其它方式编制投标书。编制投标文件时，电脑须连通互联网。</w:t>
      </w:r>
    </w:p>
    <w:p>
      <w:pPr>
        <w:ind w:firstLine="412" w:firstLineChars="196"/>
        <w:rPr>
          <w:rFonts w:ascii="宋体" w:eastAsia="宋体" w:hAnsi="宋体" w:cs="Times New Roman"/>
          <w:szCs w:val="24"/>
        </w:rPr>
      </w:pPr>
      <w:r>
        <w:rPr>
          <w:rFonts w:ascii="宋体" w:eastAsia="宋体" w:hAnsi="宋体" w:cs="Times New Roman" w:hint="eastAsia"/>
          <w:szCs w:val="24"/>
        </w:rPr>
        <w:t>23.2.4投标文件不能带病毒。政府集中采购机构将用专业杀毒软件对投标文件进行病毒检测，如果两种软件均报告发现病毒，则政府集中采购机构认为该投标文件带病毒。</w:t>
      </w:r>
    </w:p>
    <w:p>
      <w:pPr>
        <w:ind w:firstLine="412" w:firstLineChars="196"/>
        <w:rPr>
          <w:rFonts w:ascii="宋体" w:eastAsia="宋体" w:hAnsi="宋体" w:cs="Times New Roman"/>
          <w:szCs w:val="24"/>
        </w:rPr>
      </w:pPr>
      <w:r>
        <w:rPr>
          <w:rFonts w:ascii="宋体" w:eastAsia="宋体" w:hAnsi="宋体" w:cs="Times New Roman" w:hint="eastAsia"/>
          <w:szCs w:val="24"/>
        </w:rPr>
        <w:t>23.2.5完整填写“投标关键信息”，如下图所示：</w:t>
      </w:r>
    </w:p>
    <w:p>
      <w:pPr>
        <w:ind w:firstLine="412" w:firstLineChars="196"/>
        <w:rPr>
          <w:rFonts w:ascii="宋体" w:eastAsia="宋体" w:hAnsi="宋体" w:cs="Times New Roman"/>
          <w:szCs w:val="24"/>
        </w:rPr>
      </w:pPr>
      <w:r>
        <w:rPr>
          <w:rFonts w:ascii="宋体" w:hAnsi="宋体"/>
        </w:rPr>
        <w:drawing>
          <wp:inline distT="0" distB="0" distL="0" distR="0">
            <wp:extent cx="5279390" cy="2719070"/>
            <wp:effectExtent l="19050" t="0" r="0" b="0"/>
            <wp:docPr id="2" name="_x0000_i102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x0000_i1026" descr="图形用户界面, 应用程序&#10;&#10;描述已自动生成"/>
                    <pic:cNvPicPr>
                      <a:picLocks noChangeAspect="1"/>
                    </pic:cNvPicPr>
                  </pic:nvPicPr>
                  <pic:blipFill>
                    <a:blip xmlns:r="http://schemas.openxmlformats.org/officeDocument/2006/relationships" r:embed="rId8"/>
                    <a:stretch>
                      <a:fillRect/>
                    </a:stretch>
                  </pic:blipFill>
                  <pic:spPr>
                    <a:xfrm>
                      <a:off x="0" y="0"/>
                      <a:ext cx="5279390" cy="2719070"/>
                    </a:xfrm>
                    <a:prstGeom prst="rect">
                      <a:avLst/>
                    </a:prstGeom>
                    <a:noFill/>
                    <a:ln>
                      <a:noFill/>
                    </a:ln>
                  </pic:spPr>
                </pic:pic>
              </a:graphicData>
            </a:graphic>
          </wp:inline>
        </w:drawing>
      </w:r>
    </w:p>
    <w:p>
      <w:pPr>
        <w:ind w:firstLine="412" w:firstLineChars="196"/>
        <w:rPr>
          <w:rFonts w:ascii="宋体" w:eastAsia="宋体" w:hAnsi="宋体" w:cs="Times New Roman"/>
          <w:b/>
          <w:szCs w:val="24"/>
        </w:rPr>
      </w:pPr>
      <w:r>
        <w:rPr>
          <w:rFonts w:ascii="宋体" w:eastAsia="宋体" w:hAnsi="宋体" w:cs="Times New Roman" w:hint="eastAsia"/>
          <w:b/>
          <w:szCs w:val="24"/>
        </w:rPr>
        <w:t>备注：上述“开标一览表”中的“投标总价”将作为价格分计算依据；其它信息仅是对投标文件相关内容的概括性表述，不作为评审依据。</w:t>
      </w:r>
    </w:p>
    <w:p>
      <w:pPr>
        <w:ind w:firstLine="412" w:firstLineChars="196"/>
        <w:rPr>
          <w:rFonts w:ascii="宋体" w:eastAsia="宋体" w:hAnsi="宋体" w:cs="Times New Roman"/>
          <w:szCs w:val="24"/>
        </w:rPr>
      </w:pPr>
      <w:r>
        <w:rPr>
          <w:rFonts w:ascii="宋体" w:eastAsia="宋体" w:hAnsi="宋体" w:cs="Times New Roman" w:hint="eastAsia"/>
          <w:szCs w:val="24"/>
        </w:rPr>
        <w:t>23.2.6投标人在编辑投标文件时，</w:t>
      </w:r>
      <w:r>
        <w:rPr>
          <w:rFonts w:ascii="宋体" w:eastAsia="宋体" w:hAnsi="宋体" w:cs="Times New Roman" w:hint="eastAsia"/>
          <w:b/>
          <w:szCs w:val="24"/>
        </w:rPr>
        <w:t>在投标文件目录中属于本节点内容的必须在本节点中填写，填写到其他节点或附件，</w:t>
      </w:r>
      <w:r>
        <w:rPr>
          <w:rFonts w:ascii="宋体" w:eastAsia="宋体" w:hAnsi="宋体" w:cs="Times New Roman" w:hint="eastAsia"/>
          <w:szCs w:val="24"/>
        </w:rPr>
        <w:t>一切后果由供应商自行承担。</w:t>
      </w:r>
    </w:p>
    <w:p>
      <w:pPr>
        <w:ind w:firstLine="412" w:firstLineChars="196"/>
        <w:rPr>
          <w:rFonts w:ascii="宋体" w:eastAsia="宋体" w:hAnsi="宋体" w:cs="Times New Roman"/>
          <w:szCs w:val="24"/>
        </w:rPr>
      </w:pPr>
      <w:r>
        <w:rPr>
          <w:rFonts w:ascii="宋体" w:eastAsia="宋体" w:hAnsi="宋体" w:cs="Times New Roman" w:hint="eastAsia"/>
          <w:szCs w:val="24"/>
        </w:rPr>
        <w:t>23.2.7投标文件编写完成后，</w:t>
      </w:r>
      <w:r>
        <w:rPr>
          <w:rFonts w:ascii="宋体" w:eastAsia="宋体" w:hAnsi="宋体" w:cs="Times New Roman" w:hint="eastAsia"/>
          <w:b/>
          <w:szCs w:val="24"/>
        </w:rPr>
        <w:t>必须用属于投标人的电子密钥进行加密，否则视同未盖公章，将导致投标文件无效。</w:t>
      </w:r>
    </w:p>
    <w:p>
      <w:pPr>
        <w:ind w:firstLine="412" w:firstLineChars="196"/>
        <w:rPr>
          <w:rFonts w:ascii="宋体" w:eastAsia="宋体" w:hAnsi="宋体" w:cs="Times New Roman"/>
          <w:szCs w:val="24"/>
        </w:rPr>
      </w:pPr>
      <w:r>
        <w:rPr>
          <w:rFonts w:ascii="宋体" w:eastAsia="宋体" w:hAnsi="宋体" w:cs="Times New Roman" w:hint="eastAsia"/>
          <w:szCs w:val="24"/>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咨询电话：0755-29993888。</w:t>
      </w:r>
    </w:p>
    <w:p>
      <w:pPr>
        <w:ind w:firstLine="412" w:firstLineChars="196"/>
        <w:rPr>
          <w:rFonts w:ascii="宋体" w:eastAsia="宋体" w:hAnsi="宋体" w:cs="Times New Roman"/>
          <w:szCs w:val="24"/>
        </w:rPr>
      </w:pPr>
      <w:r>
        <w:rPr>
          <w:rFonts w:ascii="宋体" w:eastAsia="宋体" w:hAnsi="宋体" w:cs="Times New Roman" w:hint="eastAsia"/>
          <w:szCs w:val="24"/>
        </w:rPr>
        <w:t>23.2.9如果开标时出现网络故障、技术故障，影响了政府采购活动，政府集中采购机构有权采取措施如延期、接受无法从网上上传的投标书等，以保障政府采购活动的公开、公平和公正。</w:t>
      </w:r>
    </w:p>
    <w:p>
      <w:pPr>
        <w:ind w:firstLine="412" w:firstLineChars="196"/>
        <w:rPr>
          <w:rFonts w:ascii="宋体" w:eastAsia="宋体" w:hAnsi="宋体" w:cs="Times New Roman"/>
          <w:szCs w:val="24"/>
        </w:rPr>
      </w:pPr>
      <w:r>
        <w:rPr>
          <w:rFonts w:ascii="宋体" w:eastAsia="宋体" w:hAnsi="宋体" w:cs="Times New Roman" w:hint="eastAsia"/>
          <w:szCs w:val="24"/>
        </w:rPr>
        <w:t>23.3电报、电话、传真形式的投标概不接受。</w:t>
      </w:r>
    </w:p>
    <w:p>
      <w:pPr>
        <w:ind w:firstLine="412" w:firstLineChars="196"/>
        <w:rPr>
          <w:rFonts w:ascii="宋体" w:eastAsia="宋体" w:hAnsi="宋体" w:cs="Times New Roman"/>
          <w:b/>
          <w:szCs w:val="24"/>
        </w:rPr>
      </w:pPr>
      <w:r>
        <w:rPr>
          <w:rFonts w:ascii="宋体" w:eastAsia="宋体" w:hAnsi="宋体" w:cs="Times New Roman" w:hint="eastAsia"/>
          <w:b/>
          <w:szCs w:val="24"/>
        </w:rPr>
        <w:t>23.4经投标人电子密钥加密的投标文件无须盖章或签字，</w:t>
      </w:r>
      <w:r>
        <w:rPr>
          <w:rFonts w:ascii="宋体" w:eastAsia="宋体" w:hAnsi="宋体" w:cs="Times New Roman" w:hint="eastAsia"/>
          <w:szCs w:val="24"/>
        </w:rPr>
        <w:t>专用条款另有要求的除外。</w:t>
      </w:r>
    </w:p>
    <w:p>
      <w:pPr>
        <w:ind w:firstLine="412" w:firstLineChars="196"/>
        <w:rPr>
          <w:rFonts w:ascii="宋体" w:eastAsia="宋体" w:hAnsi="宋体" w:cs="Times New Roman"/>
          <w:szCs w:val="24"/>
        </w:rPr>
      </w:pPr>
      <w:r>
        <w:rPr>
          <w:rFonts w:ascii="宋体" w:eastAsia="宋体" w:hAnsi="宋体" w:cs="Times New Roman" w:hint="eastAsia"/>
          <w:b/>
          <w:szCs w:val="24"/>
        </w:rPr>
        <w:t>23.5</w:t>
      </w:r>
      <w:r>
        <w:rPr>
          <w:rFonts w:ascii="宋体" w:eastAsia="宋体" w:hAnsi="宋体" w:cs="Times New Roman" w:hint="eastAsia"/>
          <w:szCs w:val="24"/>
        </w:rPr>
        <w:t xml:space="preserve"> 各类资格（资质）文件提供扫描件，专用条款另有要求的除外。</w:t>
      </w:r>
      <w:bookmarkEnd w:id="31"/>
    </w:p>
    <w:p>
      <w:pPr>
        <w:keepNext/>
        <w:keepLines/>
        <w:numPr>
          <w:ilvl w:val="0"/>
          <w:numId w:val="8"/>
        </w:numPr>
        <w:adjustRightInd w:val="0"/>
        <w:spacing w:before="156" w:beforeLines="50" w:after="156" w:afterLines="50"/>
        <w:ind w:left="562" w:hanging="562"/>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投标文件的递交</w:t>
      </w:r>
    </w:p>
    <w:p>
      <w:pPr>
        <w:rPr>
          <w:rFonts w:ascii="黑体" w:eastAsia="黑体" w:hAnsi="宋体" w:cs="Times New Roman"/>
          <w:sz w:val="24"/>
          <w:szCs w:val="24"/>
        </w:rPr>
      </w:pPr>
      <w:bookmarkStart w:id="32" w:name="_Hlk72405459"/>
      <w:r>
        <w:rPr>
          <w:rFonts w:ascii="黑体" w:eastAsia="黑体" w:hAnsi="宋体" w:cs="Times New Roman" w:hint="eastAsia"/>
          <w:sz w:val="24"/>
          <w:szCs w:val="24"/>
        </w:rPr>
        <w:t>24．投标文件的保密</w:t>
      </w:r>
    </w:p>
    <w:p>
      <w:pPr>
        <w:ind w:firstLine="412" w:firstLineChars="196"/>
        <w:rPr>
          <w:rFonts w:ascii="宋体" w:eastAsia="宋体" w:hAnsi="宋体" w:cs="Times New Roman"/>
          <w:szCs w:val="24"/>
        </w:rPr>
      </w:pPr>
      <w:r>
        <w:rPr>
          <w:rFonts w:ascii="宋体" w:eastAsia="宋体" w:hAnsi="宋体" w:cs="Times New Roman" w:hint="eastAsia"/>
          <w:szCs w:val="24"/>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pPr>
        <w:ind w:firstLine="412" w:firstLineChars="196"/>
        <w:rPr>
          <w:rFonts w:ascii="宋体" w:eastAsia="宋体" w:hAnsi="宋体" w:cs="Times New Roman"/>
          <w:szCs w:val="24"/>
        </w:rPr>
      </w:pPr>
      <w:r>
        <w:rPr>
          <w:rFonts w:ascii="宋体" w:hAnsi="宋体"/>
        </w:rPr>
        <w:drawing>
          <wp:inline distT="0" distB="0" distL="0" distR="0">
            <wp:extent cx="5279390" cy="2719070"/>
            <wp:effectExtent l="19050" t="0" r="0" b="0"/>
            <wp:docPr id="3" name="_x0000_i102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i1027" descr="图形用户界面, 应用程序&#10;&#10;描述已自动生成"/>
                    <pic:cNvPicPr>
                      <a:picLocks noChangeAspect="1"/>
                    </pic:cNvPicPr>
                  </pic:nvPicPr>
                  <pic:blipFill>
                    <a:blip xmlns:r="http://schemas.openxmlformats.org/officeDocument/2006/relationships" r:embed="rId8"/>
                    <a:stretch>
                      <a:fillRect/>
                    </a:stretch>
                  </pic:blipFill>
                  <pic:spPr>
                    <a:xfrm>
                      <a:off x="0" y="0"/>
                      <a:ext cx="5279390" cy="2719070"/>
                    </a:xfrm>
                    <a:prstGeom prst="rect">
                      <a:avLst/>
                    </a:prstGeom>
                    <a:noFill/>
                    <a:ln>
                      <a:noFill/>
                    </a:ln>
                  </pic:spPr>
                </pic:pic>
              </a:graphicData>
            </a:graphic>
          </wp:inline>
        </w:drawing>
      </w:r>
    </w:p>
    <w:p>
      <w:pPr>
        <w:ind w:firstLine="412" w:firstLineChars="196"/>
        <w:rPr>
          <w:rFonts w:ascii="宋体" w:eastAsia="宋体" w:hAnsi="宋体" w:cs="Times New Roman"/>
          <w:szCs w:val="24"/>
        </w:rPr>
      </w:pPr>
      <w:r>
        <w:rPr>
          <w:rFonts w:ascii="宋体" w:eastAsia="宋体" w:hAnsi="宋体" w:cs="Times New Roman" w:hint="eastAsia"/>
          <w:szCs w:val="24"/>
        </w:rPr>
        <w:t>在投标文件制作软件点击【生成标书】按钮进入【填写开标一览表界面】界面，在该界面填写完开标一览表信息后点击【确定】，进入投标文件生成环节。</w:t>
      </w:r>
    </w:p>
    <w:p>
      <w:pPr>
        <w:ind w:firstLine="412" w:firstLineChars="196"/>
        <w:rPr>
          <w:rFonts w:ascii="宋体" w:eastAsia="宋体" w:hAnsi="宋体" w:cs="Times New Roman"/>
          <w:szCs w:val="24"/>
        </w:rPr>
      </w:pPr>
      <w:r>
        <w:rPr>
          <w:rFonts w:ascii="宋体" w:hAnsi="宋体"/>
        </w:rPr>
        <w:drawing>
          <wp:inline distT="0" distB="0" distL="0" distR="0">
            <wp:extent cx="5279390" cy="2727325"/>
            <wp:effectExtent l="19050" t="0" r="0" b="0"/>
            <wp:docPr id="4" name="_x0000_i102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i1028" descr="图形用户界面&#10;&#10;描述已自动生成"/>
                    <pic:cNvPicPr>
                      <a:picLocks noChangeAspect="1"/>
                    </pic:cNvPicPr>
                  </pic:nvPicPr>
                  <pic:blipFill>
                    <a:blip xmlns:r="http://schemas.openxmlformats.org/officeDocument/2006/relationships" r:embed="rId9"/>
                    <a:stretch>
                      <a:fillRect/>
                    </a:stretch>
                  </pic:blipFill>
                  <pic:spPr>
                    <a:xfrm>
                      <a:off x="0" y="0"/>
                      <a:ext cx="5279390" cy="2727325"/>
                    </a:xfrm>
                    <a:prstGeom prst="rect">
                      <a:avLst/>
                    </a:prstGeom>
                    <a:noFill/>
                    <a:ln>
                      <a:noFill/>
                    </a:ln>
                  </pic:spPr>
                </pic:pic>
              </a:graphicData>
            </a:graphic>
          </wp:inline>
        </w:drawing>
      </w:r>
    </w:p>
    <w:p>
      <w:pPr>
        <w:ind w:firstLine="412" w:firstLineChars="196"/>
        <w:rPr>
          <w:rFonts w:ascii="宋体" w:eastAsia="宋体" w:hAnsi="宋体" w:cs="Times New Roman"/>
          <w:szCs w:val="24"/>
        </w:rPr>
      </w:pPr>
      <w:r>
        <w:rPr>
          <w:rFonts w:ascii="宋体" w:eastAsia="宋体" w:hAnsi="宋体" w:cs="Times New Roman" w:hint="eastAsia"/>
          <w:szCs w:val="24"/>
        </w:rPr>
        <w:t>投标文件制作软件会在投标文件生成过程中，提示用户输入密码，输入密码后对标文件自动进行加密。</w:t>
      </w:r>
    </w:p>
    <w:p>
      <w:pPr>
        <w:rPr>
          <w:rFonts w:ascii="宋体" w:eastAsia="宋体" w:hAnsi="宋体" w:cs="Times New Roman"/>
          <w:color w:val="FF0000"/>
          <w:szCs w:val="24"/>
        </w:rPr>
      </w:pPr>
      <w:r>
        <w:rPr>
          <w:rFonts w:ascii="宋体" w:eastAsia="宋体" w:hAnsi="宋体" w:cs="Times New Roman" w:hint="eastAsia"/>
          <w:color w:val="FF0000"/>
          <w:szCs w:val="24"/>
        </w:rPr>
        <w:t>24.2若采购项目出现延期情况：</w:t>
      </w:r>
    </w:p>
    <w:p>
      <w:pPr>
        <w:ind w:firstLine="420" w:firstLineChars="200"/>
        <w:rPr>
          <w:rFonts w:ascii="黑体" w:eastAsia="黑体" w:hAnsi="宋体" w:cs="Times New Roman"/>
          <w:color w:val="FF0000"/>
          <w:sz w:val="24"/>
          <w:szCs w:val="24"/>
        </w:rPr>
      </w:pPr>
      <w:r>
        <w:rPr>
          <w:rFonts w:ascii="宋体" w:eastAsia="宋体" w:hAnsi="宋体" w:cs="Times New Roman" w:hint="eastAsia"/>
          <w:color w:val="FF0000"/>
          <w:szCs w:val="24"/>
        </w:rPr>
        <w:t>如果供下载的招标文件（后缀名为.szczf）有更新，投标人必须重新下载招标文件、重新制作投标文件、重新加密投标文件、重新上传投标文件；如果供下载的招标文件（后缀名为.szczf）没有更新，投标人必须重新加密投标文件、重新上传投标文件（是否重新制作投标文件根据项目实际情况定）。否则，投标人自行承担投标文件无法解密导致投标无效的后果。</w:t>
      </w:r>
    </w:p>
    <w:p>
      <w:pPr>
        <w:rPr>
          <w:rFonts w:ascii="黑体" w:eastAsia="黑体" w:hAnsi="宋体" w:cs="Times New Roman"/>
          <w:sz w:val="24"/>
          <w:szCs w:val="24"/>
        </w:rPr>
      </w:pPr>
      <w:r>
        <w:rPr>
          <w:rFonts w:ascii="黑体" w:eastAsia="黑体" w:hAnsi="宋体" w:cs="Times New Roman" w:hint="eastAsia"/>
          <w:sz w:val="24"/>
          <w:szCs w:val="24"/>
        </w:rPr>
        <w:t>25．上传投标文件及投标截止日期</w:t>
      </w:r>
    </w:p>
    <w:p>
      <w:pPr>
        <w:ind w:firstLine="412" w:firstLineChars="196"/>
        <w:rPr>
          <w:rFonts w:ascii="宋体" w:eastAsia="宋体" w:hAnsi="宋体" w:cs="Times New Roman"/>
          <w:szCs w:val="24"/>
        </w:rPr>
      </w:pPr>
      <w:r>
        <w:rPr>
          <w:rFonts w:ascii="宋体" w:eastAsia="宋体" w:hAnsi="宋体" w:cs="Times New Roman" w:hint="eastAsia"/>
          <w:szCs w:val="24"/>
        </w:rPr>
        <w:t>25</w:t>
      </w:r>
      <w:r>
        <w:rPr>
          <w:rFonts w:ascii="宋体" w:eastAsia="宋体" w:hAnsi="宋体" w:cs="Times New Roman"/>
          <w:szCs w:val="24"/>
        </w:rPr>
        <w:t>.</w:t>
      </w:r>
      <w:r>
        <w:rPr>
          <w:rFonts w:ascii="宋体" w:eastAsia="宋体" w:hAnsi="宋体" w:cs="Times New Roman" w:hint="eastAsia"/>
          <w:szCs w:val="24"/>
        </w:rPr>
        <w:t>1实行网上投标，</w:t>
      </w:r>
      <w:r>
        <w:rPr>
          <w:rFonts w:ascii="宋体" w:eastAsia="宋体" w:hAnsi="宋体" w:cs="Times New Roman"/>
          <w:szCs w:val="24"/>
        </w:rPr>
        <w:t>投标人必须</w:t>
      </w:r>
      <w:r>
        <w:rPr>
          <w:rFonts w:ascii="宋体" w:eastAsia="宋体" w:hAnsi="宋体" w:cs="Times New Roman" w:hint="eastAsia"/>
          <w:szCs w:val="24"/>
        </w:rPr>
        <w:t>在招标</w:t>
      </w:r>
      <w:r>
        <w:rPr>
          <w:rFonts w:ascii="宋体" w:eastAsia="宋体" w:hAnsi="宋体" w:cs="Times New Roman"/>
          <w:szCs w:val="24"/>
        </w:rPr>
        <w:t>文件规定的投标截止时间前</w:t>
      </w:r>
      <w:r>
        <w:rPr>
          <w:rFonts w:ascii="宋体" w:eastAsia="宋体" w:hAnsi="宋体" w:cs="Times New Roman" w:hint="eastAsia"/>
          <w:szCs w:val="24"/>
        </w:rPr>
        <w:t>用电子密钥登录“</w:t>
      </w:r>
      <w:r>
        <w:rPr>
          <w:rFonts w:ascii="宋体" w:eastAsia="宋体" w:hAnsi="宋体" w:cs="Times New Roman" w:hint="eastAsia"/>
          <w:b/>
          <w:bCs/>
          <w:szCs w:val="21"/>
        </w:rPr>
        <w:t>深圳政府采购智慧平台用户网上办事子系统（http://zfcg.szggzy.com/TPBidder/memberLogin）</w:t>
      </w:r>
      <w:r>
        <w:rPr>
          <w:rFonts w:ascii="宋体" w:eastAsia="宋体" w:hAnsi="宋体" w:cs="Times New Roman" w:hint="eastAsia"/>
          <w:szCs w:val="24"/>
        </w:rPr>
        <w:t>”，用“【我的项目】→【项目流程】→【递交投标(应答)文件】”功能点上传投标文件。如果确有困难，多次上传均告失败，请在投标截止时间之前携带加密后的电子投标文件送达至</w:t>
      </w:r>
      <w:r>
        <w:rPr>
          <w:rFonts w:ascii="宋体" w:eastAsia="宋体" w:hAnsi="宋体" w:cs="Times New Roman" w:hint="eastAsia"/>
          <w:b/>
          <w:bCs/>
          <w:szCs w:val="21"/>
        </w:rPr>
        <w:t>深圳公共资源交易中心（深圳交易集团有限公司宝安分公司）</w:t>
      </w:r>
      <w:r>
        <w:rPr>
          <w:rFonts w:ascii="宋体" w:eastAsia="宋体" w:hAnsi="宋体" w:cs="Times New Roman" w:hint="eastAsia"/>
          <w:b/>
          <w:bCs/>
          <w:szCs w:val="24"/>
        </w:rPr>
        <w:t>服务大厅（地址：深圳市宝安区宝城湖滨东路40号）</w:t>
      </w:r>
      <w:r>
        <w:rPr>
          <w:rFonts w:ascii="宋体" w:eastAsia="宋体" w:hAnsi="宋体" w:cs="Times New Roman"/>
          <w:b/>
          <w:bCs/>
          <w:szCs w:val="24"/>
        </w:rPr>
        <w:t>协助上传</w:t>
      </w:r>
      <w:r>
        <w:rPr>
          <w:rFonts w:ascii="宋体" w:eastAsia="宋体" w:hAnsi="宋体" w:cs="Times New Roman" w:hint="eastAsia"/>
          <w:b/>
          <w:bCs/>
          <w:szCs w:val="24"/>
        </w:rPr>
        <w:t>，</w:t>
      </w:r>
      <w:r>
        <w:rPr>
          <w:rFonts w:ascii="宋体" w:eastAsia="宋体" w:hAnsi="宋体" w:cs="Times New Roman"/>
          <w:b/>
          <w:bCs/>
          <w:szCs w:val="24"/>
        </w:rPr>
        <w:t>但上传过程</w:t>
      </w:r>
      <w:r>
        <w:rPr>
          <w:rFonts w:ascii="宋体" w:eastAsia="宋体" w:hAnsi="宋体" w:cs="Times New Roman" w:hint="eastAsia"/>
          <w:b/>
          <w:bCs/>
          <w:szCs w:val="24"/>
        </w:rPr>
        <w:t>中</w:t>
      </w:r>
      <w:r>
        <w:rPr>
          <w:rFonts w:ascii="宋体" w:eastAsia="宋体" w:hAnsi="宋体" w:cs="Times New Roman"/>
          <w:b/>
          <w:bCs/>
          <w:szCs w:val="24"/>
        </w:rPr>
        <w:t>投标截止时间到达仍无法上传成功的，由投标人自行负责</w:t>
      </w:r>
      <w:r>
        <w:rPr>
          <w:rFonts w:ascii="宋体" w:eastAsia="宋体" w:hAnsi="宋体" w:cs="Times New Roman" w:hint="eastAsia"/>
          <w:szCs w:val="24"/>
        </w:rPr>
        <w:t>。</w:t>
      </w:r>
    </w:p>
    <w:p>
      <w:pPr>
        <w:ind w:firstLine="412" w:firstLineChars="196"/>
        <w:rPr>
          <w:rFonts w:ascii="宋体" w:eastAsia="宋体" w:hAnsi="宋体" w:cs="Times New Roman"/>
          <w:szCs w:val="24"/>
        </w:rPr>
      </w:pPr>
      <w:r>
        <w:rPr>
          <w:rFonts w:ascii="宋体" w:eastAsia="宋体" w:hAnsi="宋体" w:cs="Times New Roman" w:hint="eastAsia"/>
          <w:szCs w:val="24"/>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2" w:firstLineChars="196"/>
        <w:rPr>
          <w:rFonts w:ascii="宋体" w:eastAsia="宋体" w:hAnsi="宋体" w:cs="Times New Roman"/>
          <w:szCs w:val="24"/>
        </w:rPr>
      </w:pPr>
      <w:r>
        <w:rPr>
          <w:rFonts w:ascii="宋体" w:eastAsia="宋体" w:hAnsi="宋体" w:cs="Times New Roman" w:hint="eastAsia"/>
          <w:szCs w:val="24"/>
        </w:rPr>
        <w:t>25</w:t>
      </w:r>
      <w:r>
        <w:rPr>
          <w:rFonts w:ascii="宋体" w:eastAsia="宋体" w:hAnsi="宋体" w:cs="Times New Roman"/>
          <w:szCs w:val="24"/>
        </w:rPr>
        <w:t>.</w:t>
      </w:r>
      <w:r>
        <w:rPr>
          <w:rFonts w:ascii="宋体" w:eastAsia="宋体" w:hAnsi="宋体" w:cs="Times New Roman" w:hint="eastAsia"/>
          <w:szCs w:val="24"/>
        </w:rPr>
        <w:t>3投标截止时间以后不得上传投标文件。</w:t>
      </w:r>
      <w:bookmarkEnd w:id="32"/>
    </w:p>
    <w:p>
      <w:pPr>
        <w:rPr>
          <w:rFonts w:ascii="黑体" w:eastAsia="黑体" w:hAnsi="宋体" w:cs="Times New Roman"/>
          <w:sz w:val="24"/>
          <w:szCs w:val="24"/>
        </w:rPr>
      </w:pPr>
      <w:r>
        <w:rPr>
          <w:rFonts w:ascii="黑体" w:eastAsia="黑体" w:hAnsi="宋体" w:cs="Times New Roman" w:hint="eastAsia"/>
          <w:sz w:val="24"/>
          <w:szCs w:val="24"/>
        </w:rPr>
        <w:t>26. 样品、现场演示、方案讲解</w:t>
      </w:r>
    </w:p>
    <w:p>
      <w:pPr>
        <w:ind w:firstLine="412" w:firstLineChars="196"/>
        <w:rPr>
          <w:rFonts w:ascii="宋体" w:eastAsia="宋体" w:hAnsi="宋体" w:cs="Times New Roman"/>
          <w:szCs w:val="21"/>
        </w:rPr>
      </w:pPr>
      <w:r>
        <w:rPr>
          <w:rFonts w:ascii="宋体" w:eastAsia="宋体" w:hAnsi="宋体" w:cs="Times New Roman" w:hint="eastAsia"/>
          <w:szCs w:val="21"/>
        </w:rPr>
        <w:t>26.1 样品、现场演示、方案讲解等事项在招标文件专用条款中进行规定。</w:t>
      </w:r>
    </w:p>
    <w:p>
      <w:pPr>
        <w:rPr>
          <w:rFonts w:ascii="黑体" w:eastAsia="黑体" w:hAnsi="宋体" w:cs="Times New Roman"/>
          <w:sz w:val="24"/>
          <w:szCs w:val="24"/>
        </w:rPr>
      </w:pPr>
      <w:bookmarkStart w:id="33" w:name="_Hlk72428346"/>
      <w:r>
        <w:rPr>
          <w:rFonts w:ascii="黑体" w:eastAsia="黑体" w:hAnsi="宋体" w:cs="Times New Roman"/>
          <w:sz w:val="24"/>
          <w:szCs w:val="24"/>
        </w:rPr>
        <w:t>2</w:t>
      </w:r>
      <w:r>
        <w:rPr>
          <w:rFonts w:ascii="黑体" w:eastAsia="黑体" w:hAnsi="宋体" w:cs="Times New Roman" w:hint="eastAsia"/>
          <w:sz w:val="24"/>
          <w:szCs w:val="24"/>
        </w:rPr>
        <w:t>7．</w:t>
      </w:r>
      <w:r>
        <w:rPr>
          <w:rFonts w:ascii="黑体" w:eastAsia="黑体" w:hAnsi="宋体" w:cs="Times New Roman"/>
          <w:sz w:val="24"/>
          <w:szCs w:val="24"/>
        </w:rPr>
        <w:t>投标文件的修改和撤销</w:t>
      </w:r>
    </w:p>
    <w:p>
      <w:pPr>
        <w:ind w:firstLine="412" w:firstLineChars="196"/>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1</w:t>
      </w:r>
      <w:r>
        <w:rPr>
          <w:rFonts w:ascii="宋体" w:eastAsia="宋体" w:hAnsi="宋体" w:cs="Times New Roman"/>
          <w:szCs w:val="24"/>
        </w:rPr>
        <w:t>投标</w:t>
      </w:r>
      <w:r>
        <w:rPr>
          <w:rFonts w:ascii="宋体" w:eastAsia="宋体" w:hAnsi="宋体" w:cs="Times New Roman" w:hint="eastAsia"/>
          <w:szCs w:val="24"/>
        </w:rPr>
        <w:t>人</w:t>
      </w:r>
      <w:r>
        <w:rPr>
          <w:rFonts w:ascii="宋体" w:eastAsia="宋体" w:hAnsi="宋体" w:cs="Times New Roman"/>
          <w:szCs w:val="24"/>
        </w:rPr>
        <w:t>在提交投标文件后可对其投标文件进行修改</w:t>
      </w:r>
      <w:r>
        <w:rPr>
          <w:rFonts w:ascii="宋体" w:eastAsia="宋体" w:hAnsi="宋体" w:cs="Times New Roman" w:hint="eastAsia"/>
          <w:szCs w:val="24"/>
        </w:rPr>
        <w:t>并重新上传投标文件</w:t>
      </w:r>
      <w:r>
        <w:rPr>
          <w:rFonts w:ascii="宋体" w:eastAsia="宋体" w:hAnsi="宋体" w:cs="Times New Roman"/>
          <w:szCs w:val="24"/>
        </w:rPr>
        <w:t>或</w:t>
      </w:r>
      <w:r>
        <w:rPr>
          <w:rFonts w:ascii="宋体" w:eastAsia="宋体" w:hAnsi="宋体" w:cs="Times New Roman" w:hint="eastAsia"/>
          <w:szCs w:val="24"/>
        </w:rPr>
        <w:t>在网上进行</w:t>
      </w:r>
      <w:r>
        <w:rPr>
          <w:rFonts w:ascii="宋体" w:eastAsia="宋体" w:hAnsi="宋体" w:cs="Times New Roman"/>
          <w:szCs w:val="24"/>
        </w:rPr>
        <w:t>撤销</w:t>
      </w:r>
      <w:r>
        <w:rPr>
          <w:rFonts w:ascii="宋体" w:eastAsia="宋体" w:hAnsi="宋体" w:cs="Times New Roman" w:hint="eastAsia"/>
          <w:szCs w:val="24"/>
        </w:rPr>
        <w:t>投标的操作</w:t>
      </w:r>
      <w:r>
        <w:rPr>
          <w:rFonts w:ascii="宋体" w:eastAsia="宋体" w:hAnsi="宋体" w:cs="Times New Roman"/>
          <w:szCs w:val="24"/>
        </w:rPr>
        <w:t>。</w:t>
      </w:r>
    </w:p>
    <w:p>
      <w:pPr>
        <w:ind w:firstLine="412" w:firstLineChars="196"/>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2</w:t>
      </w:r>
      <w:r>
        <w:rPr>
          <w:rFonts w:ascii="宋体" w:eastAsia="宋体" w:hAnsi="宋体" w:cs="Times New Roman"/>
          <w:szCs w:val="24"/>
        </w:rPr>
        <w:t>投标截止时间以后不得修改投标文件。</w:t>
      </w:r>
    </w:p>
    <w:p>
      <w:pPr>
        <w:ind w:firstLine="412" w:firstLineChars="196"/>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3从投标截止期至投标人在投标文件中确定的投标有效期之间的这段时间内，投标人不得撤回其投标。</w:t>
      </w:r>
    </w:p>
    <w:p>
      <w:pPr>
        <w:ind w:firstLine="412" w:firstLineChars="196"/>
        <w:rPr>
          <w:rFonts w:ascii="宋体" w:eastAsia="宋体" w:hAnsi="宋体" w:cs="Times New Roman"/>
          <w:szCs w:val="21"/>
        </w:rPr>
      </w:pPr>
      <w:r>
        <w:rPr>
          <w:rFonts w:ascii="宋体" w:eastAsia="宋体" w:hAnsi="宋体" w:cs="Times New Roman" w:hint="eastAsia"/>
          <w:szCs w:val="21"/>
        </w:rPr>
        <w:t>27.4政府集中采购机构不退还投标文件，专用条款另有规定的除外。</w:t>
      </w:r>
      <w:bookmarkEnd w:id="33"/>
    </w:p>
    <w:p>
      <w:pPr>
        <w:keepNext/>
        <w:keepLines/>
        <w:numPr>
          <w:ilvl w:val="0"/>
          <w:numId w:val="8"/>
        </w:numPr>
        <w:adjustRightInd w:val="0"/>
        <w:spacing w:before="156" w:beforeLines="50" w:after="156" w:afterLines="50"/>
        <w:ind w:left="562" w:hanging="562"/>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开标</w:t>
      </w:r>
    </w:p>
    <w:p>
      <w:pPr>
        <w:rPr>
          <w:rFonts w:ascii="黑体" w:eastAsia="黑体" w:hAnsi="宋体" w:cs="Times New Roman"/>
          <w:sz w:val="24"/>
          <w:szCs w:val="24"/>
        </w:rPr>
      </w:pPr>
      <w:r>
        <w:rPr>
          <w:rFonts w:ascii="黑体" w:eastAsia="黑体" w:hAnsi="宋体" w:cs="Times New Roman" w:hint="eastAsia"/>
          <w:sz w:val="24"/>
          <w:szCs w:val="24"/>
        </w:rPr>
        <w:t>28．开标</w:t>
      </w:r>
    </w:p>
    <w:p>
      <w:pPr>
        <w:ind w:firstLine="359" w:firstLineChars="171"/>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8</w:t>
      </w:r>
      <w:r>
        <w:rPr>
          <w:rFonts w:ascii="宋体" w:eastAsia="宋体" w:hAnsi="宋体" w:cs="Times New Roman"/>
          <w:szCs w:val="21"/>
        </w:rPr>
        <w:t>.</w:t>
      </w:r>
      <w:r>
        <w:rPr>
          <w:rFonts w:ascii="宋体" w:eastAsia="宋体" w:hAnsi="宋体" w:cs="Times New Roman" w:hint="eastAsia"/>
          <w:szCs w:val="21"/>
        </w:rPr>
        <w:t>1</w:t>
      </w:r>
      <w:r>
        <w:rPr>
          <w:rFonts w:ascii="宋体" w:hAnsi="宋体" w:hint="eastAsia"/>
        </w:rPr>
        <w:t>投标人须在开标当日的开标时间至解密截止时间内进行解密，逾期未解密的作无效处理。解密方法：登录“深圳政府采购智慧平台用户网上办事子系统（</w:t>
      </w:r>
      <w:r>
        <w:rPr>
          <w:rFonts w:ascii="宋体" w:hAnsi="宋体"/>
        </w:rPr>
        <w:t>http://zfcg.szggzy.com/</w:t>
      </w:r>
      <w:r>
        <w:rPr>
          <w:rFonts w:ascii="宋体" w:hAnsi="宋体" w:hint="eastAsia"/>
        </w:rPr>
        <w:t>TPBidder/memberLogin）”，使用本单位制作电子投标文件同一个电子密钥，在“【我的项目】→【项目流程】→【开标及解密】”进行在线解密、查询开标情况。</w:t>
      </w:r>
    </w:p>
    <w:p>
      <w:pPr>
        <w:ind w:firstLine="315" w:firstLineChars="150"/>
        <w:rPr>
          <w:rFonts w:ascii="宋体" w:eastAsia="宋体" w:hAnsi="宋体" w:cs="Times New Roman"/>
          <w:szCs w:val="21"/>
        </w:rPr>
      </w:pPr>
      <w:r>
        <w:rPr>
          <w:rFonts w:ascii="宋体" w:eastAsia="宋体" w:hAnsi="宋体" w:cs="Times New Roman" w:hint="eastAsia"/>
          <w:szCs w:val="21"/>
        </w:rPr>
        <w:t>28.2</w:t>
      </w:r>
      <w:r>
        <w:rPr>
          <w:rFonts w:ascii="宋体" w:hAnsi="宋体" w:hint="eastAsia"/>
          <w:szCs w:val="21"/>
        </w:rPr>
        <w:t>政府集中采购机构将在满足开标条件（</w:t>
      </w:r>
      <w:r>
        <w:rPr>
          <w:rFonts w:ascii="宋体" w:hAnsi="宋体" w:cs="宋体" w:hint="eastAsia"/>
          <w:color w:val="333333"/>
          <w:sz w:val="20"/>
          <w:szCs w:val="20"/>
          <w:shd w:val="clear" w:color="auto" w:fill="FFFFFF"/>
        </w:rPr>
        <w:t>①</w:t>
      </w:r>
      <w:r>
        <w:rPr>
          <w:rFonts w:ascii="宋体" w:hAnsi="宋体" w:hint="eastAsia"/>
          <w:szCs w:val="21"/>
        </w:rPr>
        <w:t>解密时间结束，解密后的投标供应商数量满足开标要求或</w:t>
      </w:r>
      <w:r>
        <w:rPr>
          <w:rFonts w:ascii="宋体" w:hAnsi="宋体" w:cs="宋体" w:hint="eastAsia"/>
          <w:color w:val="333333"/>
          <w:sz w:val="20"/>
          <w:szCs w:val="20"/>
          <w:shd w:val="clear" w:color="auto" w:fill="FFFFFF"/>
        </w:rPr>
        <w:t>②</w:t>
      </w:r>
      <w:r>
        <w:rPr>
          <w:rFonts w:ascii="宋体" w:hAnsi="宋体" w:hint="eastAsia"/>
          <w:szCs w:val="21"/>
        </w:rPr>
        <w:t>解密时间结束前所有投标供应商均完成投标文件解密）后，对投标文件进行开标，并在网上公布开标结果。</w:t>
      </w:r>
    </w:p>
    <w:p>
      <w:pPr>
        <w:keepNext/>
        <w:keepLines/>
        <w:numPr>
          <w:ilvl w:val="0"/>
          <w:numId w:val="8"/>
        </w:numPr>
        <w:adjustRightInd w:val="0"/>
        <w:spacing w:before="156" w:beforeLines="50" w:after="156" w:afterLines="50"/>
        <w:ind w:left="562" w:hanging="562"/>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评审要求</w:t>
      </w:r>
    </w:p>
    <w:p>
      <w:pPr>
        <w:rPr>
          <w:rFonts w:ascii="黑体" w:eastAsia="黑体" w:hAnsi="宋体" w:cs="Times New Roman"/>
          <w:sz w:val="24"/>
          <w:szCs w:val="24"/>
        </w:rPr>
      </w:pPr>
      <w:r>
        <w:rPr>
          <w:rFonts w:ascii="黑体" w:eastAsia="黑体" w:hAnsi="宋体" w:cs="Times New Roman" w:hint="eastAsia"/>
          <w:sz w:val="24"/>
          <w:szCs w:val="24"/>
        </w:rPr>
        <w:t>29．评审委员会组成</w:t>
      </w:r>
    </w:p>
    <w:p>
      <w:pPr>
        <w:ind w:firstLine="412" w:firstLineChars="196"/>
        <w:rPr>
          <w:rFonts w:ascii="宋体" w:eastAsia="宋体" w:hAnsi="宋体" w:cs="Times New Roman"/>
          <w:szCs w:val="24"/>
        </w:rPr>
      </w:pPr>
      <w:r>
        <w:rPr>
          <w:rFonts w:ascii="宋体" w:eastAsia="宋体" w:hAnsi="宋体" w:cs="Times New Roman" w:hint="eastAsia"/>
          <w:szCs w:val="24"/>
        </w:rPr>
        <w:t>29.1网上开标结束后召开评审会议，</w:t>
      </w:r>
      <w:r>
        <w:rPr>
          <w:rFonts w:ascii="宋体" w:eastAsia="宋体" w:hAnsi="宋体" w:cs="Times New Roman" w:hint="eastAsia"/>
          <w:szCs w:val="21"/>
        </w:rPr>
        <w:t>评审委员会</w:t>
      </w:r>
      <w:r>
        <w:rPr>
          <w:rFonts w:ascii="宋体" w:eastAsia="宋体" w:hAnsi="宋体" w:cs="Times New Roman" w:hint="eastAsia"/>
          <w:szCs w:val="24"/>
        </w:rPr>
        <w:t>由政府集中采购机构依法组建，负责评审活动。</w:t>
      </w:r>
    </w:p>
    <w:p>
      <w:pPr>
        <w:ind w:firstLine="412" w:firstLineChars="196"/>
        <w:rPr>
          <w:rFonts w:ascii="宋体" w:eastAsia="宋体" w:hAnsi="宋体" w:cs="Times New Roman"/>
          <w:szCs w:val="24"/>
        </w:rPr>
      </w:pPr>
      <w:bookmarkStart w:id="34" w:name="_Hlk72436580"/>
      <w:r>
        <w:rPr>
          <w:rFonts w:ascii="宋体" w:eastAsia="宋体" w:hAnsi="宋体" w:cs="Times New Roman" w:hint="eastAsia"/>
          <w:szCs w:val="24"/>
        </w:rPr>
        <w:t>评审委员会由采购人代表和评审专家组成，成员人数应当为5人以上单数（部分条件下为7人以上单数），其中评审专家不得少于成员总数的三分之二。</w:t>
      </w:r>
      <w:bookmarkEnd w:id="34"/>
      <w:r>
        <w:rPr>
          <w:rFonts w:ascii="宋体" w:eastAsia="宋体" w:hAnsi="宋体" w:cs="Times New Roman" w:hint="eastAsia"/>
          <w:szCs w:val="24"/>
        </w:rPr>
        <w:t>评定</w:t>
      </w:r>
      <w:r>
        <w:rPr>
          <w:rFonts w:ascii="Times New Roman" w:eastAsia="宋体" w:hAnsi="Times New Roman" w:cs="Times New Roman" w:hint="eastAsia"/>
          <w:szCs w:val="24"/>
        </w:rPr>
        <w:t>分离项目</w:t>
      </w:r>
      <w:r>
        <w:rPr>
          <w:rFonts w:ascii="Times New Roman" w:eastAsia="宋体" w:hAnsi="Times New Roman" w:cs="Times New Roman"/>
          <w:szCs w:val="24"/>
        </w:rPr>
        <w:t>评审专家</w:t>
      </w:r>
      <w:r>
        <w:rPr>
          <w:rFonts w:ascii="Times New Roman" w:eastAsia="宋体" w:hAnsi="Times New Roman" w:cs="Times New Roman" w:hint="eastAsia"/>
          <w:szCs w:val="24"/>
        </w:rPr>
        <w:t>均</w:t>
      </w:r>
      <w:r>
        <w:rPr>
          <w:rFonts w:ascii="Times New Roman" w:eastAsia="宋体" w:hAnsi="Times New Roman" w:cs="Times New Roman"/>
          <w:szCs w:val="24"/>
        </w:rPr>
        <w:t>由</w:t>
      </w:r>
      <w:r>
        <w:rPr>
          <w:rFonts w:ascii="Times New Roman" w:eastAsia="宋体" w:hAnsi="Times New Roman" w:cs="Times New Roman" w:hint="eastAsia"/>
          <w:szCs w:val="24"/>
        </w:rPr>
        <w:t>评审专家组成。</w:t>
      </w:r>
      <w:r>
        <w:rPr>
          <w:rFonts w:ascii="宋体" w:eastAsia="宋体" w:hAnsi="宋体" w:cs="Times New Roman" w:hint="eastAsia"/>
          <w:szCs w:val="21"/>
        </w:rPr>
        <w:t>评审专家一般是</w:t>
      </w:r>
      <w:r>
        <w:rPr>
          <w:rFonts w:ascii="宋体" w:eastAsia="宋体" w:hAnsi="宋体" w:cs="Times New Roman" w:hint="eastAsia"/>
          <w:szCs w:val="24"/>
        </w:rPr>
        <w:t>从深圳市政府采购评审专家库中随机抽取。采购人代表须持本单位签发的《评审授权书》参加评审。</w:t>
      </w:r>
    </w:p>
    <w:p>
      <w:pPr>
        <w:ind w:firstLine="412" w:firstLineChars="196"/>
        <w:rPr>
          <w:rFonts w:ascii="宋体" w:eastAsia="宋体" w:hAnsi="宋体" w:cs="Times New Roman"/>
          <w:szCs w:val="24"/>
        </w:rPr>
      </w:pPr>
      <w:r>
        <w:rPr>
          <w:rFonts w:ascii="宋体" w:eastAsia="宋体" w:hAnsi="宋体" w:cs="Times New Roman" w:hint="eastAsia"/>
          <w:szCs w:val="24"/>
        </w:rPr>
        <w:t>29.2评审定标应当遵循公平、公正、科学、择优的原则。</w:t>
      </w:r>
    </w:p>
    <w:p>
      <w:pPr>
        <w:ind w:firstLine="412" w:firstLineChars="196"/>
        <w:rPr>
          <w:rFonts w:ascii="宋体" w:eastAsia="宋体" w:hAnsi="宋体" w:cs="Times New Roman"/>
          <w:szCs w:val="24"/>
        </w:rPr>
      </w:pPr>
      <w:r>
        <w:rPr>
          <w:rFonts w:ascii="宋体" w:eastAsia="宋体" w:hAnsi="宋体" w:cs="Times New Roman" w:hint="eastAsia"/>
          <w:szCs w:val="24"/>
        </w:rPr>
        <w:t>29.3评审活动依法进行，任何单位和个人不得非法干预评标过程和结果。</w:t>
      </w:r>
    </w:p>
    <w:p>
      <w:pPr>
        <w:ind w:firstLine="412" w:firstLineChars="196"/>
        <w:rPr>
          <w:rFonts w:ascii="宋体" w:eastAsia="宋体" w:hAnsi="宋体" w:cs="Times New Roman"/>
          <w:szCs w:val="24"/>
        </w:rPr>
      </w:pPr>
      <w:r>
        <w:rPr>
          <w:rFonts w:ascii="宋体" w:eastAsia="宋体" w:hAnsi="宋体" w:cs="Times New Roman" w:hint="eastAsia"/>
          <w:szCs w:val="24"/>
        </w:rPr>
        <w:t>29.4评审过程中不允许违背评标程序或采用招标文件未载明的评标方法或评标因素进行评标。</w:t>
      </w:r>
    </w:p>
    <w:p>
      <w:pPr>
        <w:ind w:firstLine="412" w:firstLineChars="196"/>
        <w:rPr>
          <w:rFonts w:ascii="宋体" w:eastAsia="宋体" w:hAnsi="宋体" w:cs="Times New Roman"/>
          <w:bCs/>
          <w:szCs w:val="24"/>
        </w:rPr>
      </w:pPr>
      <w:r>
        <w:rPr>
          <w:rFonts w:ascii="宋体" w:eastAsia="宋体" w:hAnsi="宋体" w:cs="Times New Roman" w:hint="eastAsia"/>
          <w:bCs/>
          <w:szCs w:val="24"/>
        </w:rPr>
        <w:t>29.5 开标后，直到签订合同为止，凡属于对投标文件的审查、澄清、评价和比较的有关资料以及中标候选人的推荐情况、与评审有关的其他任何情况均严格保密（</w:t>
      </w:r>
      <w:r>
        <w:rPr>
          <w:rFonts w:ascii="Times New Roman" w:eastAsia="宋体" w:hAnsi="Times New Roman" w:cs="Times New Roman" w:hint="eastAsia"/>
          <w:szCs w:val="24"/>
        </w:rPr>
        <w:t>信息公开的内容除外</w:t>
      </w:r>
      <w:r>
        <w:rPr>
          <w:rFonts w:ascii="宋体" w:eastAsia="宋体" w:hAnsi="宋体" w:cs="Times New Roman" w:hint="eastAsia"/>
          <w:bCs/>
          <w:szCs w:val="24"/>
        </w:rPr>
        <w:t>）。</w:t>
      </w:r>
    </w:p>
    <w:p>
      <w:pPr>
        <w:rPr>
          <w:rFonts w:ascii="黑体" w:eastAsia="黑体" w:hAnsi="宋体" w:cs="Times New Roman"/>
          <w:sz w:val="24"/>
          <w:szCs w:val="24"/>
        </w:rPr>
      </w:pPr>
      <w:r>
        <w:rPr>
          <w:rFonts w:ascii="黑体" w:eastAsia="黑体" w:hAnsi="宋体" w:cs="Times New Roman" w:hint="eastAsia"/>
          <w:sz w:val="24"/>
          <w:szCs w:val="24"/>
        </w:rPr>
        <w:t>30．向评审委员会提供的资料</w:t>
      </w:r>
    </w:p>
    <w:p>
      <w:pPr>
        <w:ind w:firstLine="412" w:firstLineChars="196"/>
        <w:rPr>
          <w:rFonts w:ascii="宋体" w:eastAsia="宋体" w:hAnsi="宋体" w:cs="Times New Roman"/>
          <w:szCs w:val="24"/>
        </w:rPr>
      </w:pPr>
      <w:r>
        <w:rPr>
          <w:rFonts w:ascii="宋体" w:eastAsia="宋体" w:hAnsi="宋体" w:cs="Times New Roman" w:hint="eastAsia"/>
          <w:szCs w:val="24"/>
        </w:rPr>
        <w:t>30.1公开发布的招标文件，包括图纸、服务清单、答疑文件等；</w:t>
      </w:r>
    </w:p>
    <w:p>
      <w:pPr>
        <w:ind w:firstLine="412" w:firstLineChars="196"/>
        <w:rPr>
          <w:rFonts w:ascii="宋体" w:eastAsia="宋体" w:hAnsi="宋体" w:cs="Times New Roman"/>
          <w:szCs w:val="24"/>
        </w:rPr>
      </w:pPr>
      <w:r>
        <w:rPr>
          <w:rFonts w:ascii="宋体" w:eastAsia="宋体" w:hAnsi="宋体" w:cs="Times New Roman" w:hint="eastAsia"/>
          <w:szCs w:val="24"/>
        </w:rPr>
        <w:t>30.2其他评标必须的资料。</w:t>
      </w:r>
    </w:p>
    <w:p>
      <w:pPr>
        <w:ind w:firstLine="412" w:firstLineChars="196"/>
        <w:rPr>
          <w:rFonts w:ascii="宋体" w:eastAsia="宋体" w:hAnsi="宋体" w:cs="Times New Roman"/>
          <w:szCs w:val="24"/>
        </w:rPr>
      </w:pPr>
      <w:r>
        <w:rPr>
          <w:rFonts w:ascii="宋体" w:eastAsia="宋体" w:hAnsi="宋体" w:cs="Times New Roman" w:hint="eastAsia"/>
          <w:szCs w:val="24"/>
        </w:rPr>
        <w:t>30.3</w:t>
      </w:r>
      <w:r>
        <w:rPr>
          <w:rFonts w:ascii="宋体" w:eastAsia="宋体" w:hAnsi="宋体" w:cs="Times New Roman" w:hint="eastAsia"/>
          <w:szCs w:val="21"/>
        </w:rPr>
        <w:t>评审委员会</w:t>
      </w:r>
      <w:r>
        <w:rPr>
          <w:rFonts w:ascii="宋体" w:eastAsia="宋体" w:hAnsi="宋体" w:cs="Times New Roman" w:hint="eastAsia"/>
          <w:szCs w:val="24"/>
        </w:rPr>
        <w:t>应当认真研究招标文件，至少应了解熟悉以下内容：</w:t>
      </w:r>
    </w:p>
    <w:p>
      <w:pPr>
        <w:ind w:firstLine="412" w:firstLineChars="196"/>
        <w:rPr>
          <w:rFonts w:ascii="宋体" w:eastAsia="宋体" w:hAnsi="宋体" w:cs="Times New Roman"/>
          <w:szCs w:val="24"/>
        </w:rPr>
      </w:pPr>
      <w:r>
        <w:rPr>
          <w:rFonts w:ascii="宋体" w:eastAsia="宋体" w:hAnsi="宋体" w:cs="Times New Roman" w:hint="eastAsia"/>
          <w:szCs w:val="24"/>
        </w:rPr>
        <w:t>（1）招标的目的；</w:t>
      </w:r>
    </w:p>
    <w:p>
      <w:pPr>
        <w:ind w:firstLine="412" w:firstLineChars="196"/>
        <w:rPr>
          <w:rFonts w:ascii="宋体" w:eastAsia="宋体" w:hAnsi="宋体" w:cs="Times New Roman"/>
          <w:szCs w:val="24"/>
        </w:rPr>
      </w:pPr>
      <w:r>
        <w:rPr>
          <w:rFonts w:ascii="宋体" w:eastAsia="宋体" w:hAnsi="宋体" w:cs="Times New Roman" w:hint="eastAsia"/>
          <w:szCs w:val="24"/>
        </w:rPr>
        <w:t>（2）招标项目需求的范围和性质；</w:t>
      </w:r>
    </w:p>
    <w:p>
      <w:pPr>
        <w:ind w:firstLine="412" w:firstLineChars="196"/>
        <w:rPr>
          <w:rFonts w:ascii="宋体" w:eastAsia="宋体" w:hAnsi="宋体" w:cs="Times New Roman"/>
          <w:szCs w:val="24"/>
        </w:rPr>
      </w:pPr>
      <w:r>
        <w:rPr>
          <w:rFonts w:ascii="宋体" w:eastAsia="宋体" w:hAnsi="宋体" w:cs="Times New Roman" w:hint="eastAsia"/>
          <w:szCs w:val="24"/>
        </w:rPr>
        <w:t>（3）招标文件规定的投标人的资格、财政预算限额、商务条款；</w:t>
      </w:r>
    </w:p>
    <w:p>
      <w:pPr>
        <w:ind w:firstLine="412" w:firstLineChars="196"/>
        <w:rPr>
          <w:rFonts w:ascii="宋体" w:eastAsia="宋体" w:hAnsi="宋体" w:cs="Times New Roman"/>
          <w:szCs w:val="24"/>
        </w:rPr>
      </w:pPr>
      <w:r>
        <w:rPr>
          <w:rFonts w:ascii="宋体" w:eastAsia="宋体" w:hAnsi="宋体" w:cs="Times New Roman" w:hint="eastAsia"/>
          <w:szCs w:val="24"/>
        </w:rPr>
        <w:t>（4）招标文件规定的评标程序、评标方法和评标因素；</w:t>
      </w:r>
    </w:p>
    <w:p>
      <w:pPr>
        <w:ind w:firstLine="412" w:firstLineChars="196"/>
        <w:rPr>
          <w:rFonts w:ascii="宋体" w:eastAsia="宋体" w:hAnsi="宋体" w:cs="Times New Roman"/>
          <w:szCs w:val="24"/>
        </w:rPr>
      </w:pPr>
      <w:r>
        <w:rPr>
          <w:rFonts w:ascii="宋体" w:eastAsia="宋体" w:hAnsi="宋体" w:cs="Times New Roman" w:hint="eastAsia"/>
          <w:szCs w:val="24"/>
        </w:rPr>
        <w:t>（5）招标文件所列示的资格性审查表及符合性审查表。</w:t>
      </w:r>
    </w:p>
    <w:p>
      <w:pPr>
        <w:rPr>
          <w:rFonts w:ascii="黑体" w:eastAsia="黑体" w:hAnsi="宋体" w:cs="Times New Roman"/>
          <w:sz w:val="24"/>
          <w:szCs w:val="24"/>
        </w:rPr>
      </w:pPr>
      <w:r>
        <w:rPr>
          <w:rFonts w:ascii="黑体" w:eastAsia="黑体" w:hAnsi="宋体" w:cs="Times New Roman" w:hint="eastAsia"/>
          <w:sz w:val="24"/>
          <w:szCs w:val="24"/>
        </w:rPr>
        <w:t>31．独立评审</w:t>
      </w:r>
    </w:p>
    <w:p>
      <w:pPr>
        <w:ind w:firstLine="412" w:firstLineChars="196"/>
        <w:rPr>
          <w:rFonts w:ascii="宋体" w:eastAsia="宋体" w:hAnsi="宋体" w:cs="Times New Roman"/>
          <w:bCs/>
          <w:szCs w:val="24"/>
        </w:rPr>
      </w:pPr>
      <w:r>
        <w:rPr>
          <w:rFonts w:ascii="宋体" w:eastAsia="宋体" w:hAnsi="宋体" w:cs="Times New Roman" w:hint="eastAsia"/>
          <w:bCs/>
          <w:szCs w:val="24"/>
        </w:rPr>
        <w:t>3</w:t>
      </w:r>
      <w:r>
        <w:rPr>
          <w:rFonts w:ascii="宋体" w:eastAsia="宋体" w:hAnsi="宋体" w:cs="Times New Roman"/>
          <w:bCs/>
          <w:szCs w:val="24"/>
        </w:rPr>
        <w:t>1</w:t>
      </w:r>
      <w:r>
        <w:rPr>
          <w:rFonts w:ascii="宋体" w:eastAsia="宋体" w:hAnsi="宋体" w:cs="Times New Roman" w:hint="eastAsia"/>
          <w:bCs/>
          <w:szCs w:val="24"/>
        </w:rPr>
        <w:t>.1</w:t>
      </w:r>
      <w:r>
        <w:rPr>
          <w:rFonts w:ascii="宋体" w:eastAsia="宋体" w:hAnsi="宋体" w:cs="Times New Roman" w:hint="eastAsia"/>
          <w:szCs w:val="21"/>
        </w:rPr>
        <w:t>评审委员会</w:t>
      </w:r>
      <w:r>
        <w:rPr>
          <w:rFonts w:ascii="宋体" w:eastAsia="宋体" w:hAnsi="宋体" w:cs="Times New Roman" w:hint="eastAsia"/>
          <w:bCs/>
          <w:szCs w:val="24"/>
        </w:rPr>
        <w:t>成员的评标活动应当独立进行，并应遵循投标文件初审、澄清有关问题、比较与评价、确定中标供应商、编写评审报告的工作程序。</w:t>
      </w:r>
    </w:p>
    <w:p>
      <w:pPr>
        <w:keepNext/>
        <w:keepLines/>
        <w:numPr>
          <w:ilvl w:val="0"/>
          <w:numId w:val="8"/>
        </w:numPr>
        <w:adjustRightInd w:val="0"/>
        <w:spacing w:before="156" w:beforeLines="50" w:after="156" w:afterLines="50"/>
        <w:ind w:left="562" w:hanging="562"/>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评审程序及评审方法</w:t>
      </w:r>
    </w:p>
    <w:p>
      <w:pPr>
        <w:rPr>
          <w:rFonts w:ascii="黑体" w:eastAsia="黑体" w:hAnsi="宋体" w:cs="Times New Roman"/>
          <w:sz w:val="24"/>
          <w:szCs w:val="24"/>
        </w:rPr>
      </w:pPr>
      <w:r>
        <w:rPr>
          <w:rFonts w:ascii="黑体" w:eastAsia="黑体" w:hAnsi="宋体" w:cs="Times New Roman" w:hint="eastAsia"/>
          <w:sz w:val="24"/>
          <w:szCs w:val="24"/>
        </w:rPr>
        <w:t>32．投标文件初审</w:t>
      </w:r>
    </w:p>
    <w:p>
      <w:pPr>
        <w:ind w:firstLine="412" w:firstLineChars="196"/>
        <w:rPr>
          <w:rFonts w:ascii="宋体" w:eastAsia="宋体" w:hAnsi="宋体" w:cs="Times New Roman"/>
          <w:szCs w:val="24"/>
        </w:rPr>
      </w:pPr>
      <w:r>
        <w:rPr>
          <w:rFonts w:ascii="宋体" w:eastAsia="宋体" w:hAnsi="宋体" w:cs="Times New Roman" w:hint="eastAsia"/>
          <w:szCs w:val="24"/>
        </w:rPr>
        <w:t>32.1投标文件初审包括资格性审查和符合性审查。</w:t>
      </w:r>
    </w:p>
    <w:p>
      <w:pPr>
        <w:ind w:firstLine="412" w:firstLineChars="196"/>
        <w:rPr>
          <w:rFonts w:ascii="宋体" w:eastAsia="宋体" w:hAnsi="宋体" w:cs="Times New Roman"/>
          <w:szCs w:val="24"/>
        </w:rPr>
      </w:pPr>
      <w:r>
        <w:rPr>
          <w:rFonts w:ascii="宋体" w:eastAsia="宋体" w:hAnsi="宋体" w:cs="Times New Roman" w:hint="eastAsia"/>
          <w:szCs w:val="24"/>
        </w:rPr>
        <w:t>资格性审查：依据法律法规和招标文件的规定，对投标文件中的资格证明等进行审查，以确定投标供应商是否具备投标资格。</w:t>
      </w:r>
    </w:p>
    <w:p>
      <w:pPr>
        <w:ind w:firstLine="412" w:firstLineChars="196"/>
        <w:rPr>
          <w:rFonts w:ascii="宋体" w:eastAsia="宋体" w:hAnsi="宋体" w:cs="Times New Roman"/>
          <w:szCs w:val="24"/>
        </w:rPr>
      </w:pPr>
      <w:r>
        <w:rPr>
          <w:rFonts w:ascii="宋体" w:eastAsia="宋体" w:hAnsi="宋体" w:cs="Times New Roman" w:hint="eastAsia"/>
          <w:szCs w:val="24"/>
        </w:rPr>
        <w:t>符合性审查：依据招标文件的规定，对投标文件的有效性、完整性和对招标文件的响应程度进行审查，以确定是否满足符合性审查的要求。</w:t>
      </w:r>
    </w:p>
    <w:p>
      <w:pPr>
        <w:ind w:firstLine="412" w:firstLineChars="196"/>
        <w:rPr>
          <w:rFonts w:ascii="宋体" w:eastAsia="宋体" w:hAnsi="宋体" w:cs="Times New Roman"/>
          <w:szCs w:val="24"/>
        </w:rPr>
      </w:pPr>
      <w:r>
        <w:rPr>
          <w:rFonts w:ascii="宋体" w:eastAsia="宋体" w:hAnsi="宋体" w:cs="Times New Roman" w:hint="eastAsia"/>
          <w:szCs w:val="24"/>
        </w:rPr>
        <w:t>32.2 投标文件初审内容请详见《资格性审查表》和《符合性审查表》部分。投标人若有一条审查不通过则按投标无效处理。</w:t>
      </w:r>
    </w:p>
    <w:p>
      <w:pPr>
        <w:ind w:firstLine="412" w:firstLineChars="196"/>
        <w:rPr>
          <w:rFonts w:ascii="宋体" w:eastAsia="宋体" w:hAnsi="宋体" w:cs="Times New Roman"/>
          <w:bCs/>
          <w:szCs w:val="24"/>
        </w:rPr>
      </w:pPr>
      <w:r>
        <w:rPr>
          <w:rFonts w:ascii="宋体" w:eastAsia="宋体" w:hAnsi="宋体" w:cs="Times New Roman" w:hint="eastAsia"/>
          <w:bCs/>
          <w:szCs w:val="24"/>
        </w:rPr>
        <w:t>32.3 投标文件初审中关于供应商家数的计算:</w:t>
      </w:r>
    </w:p>
    <w:p>
      <w:pPr>
        <w:ind w:firstLine="412" w:firstLineChars="196"/>
        <w:rPr>
          <w:rFonts w:ascii="宋体" w:eastAsia="宋体" w:hAnsi="宋体" w:cs="Times New Roman"/>
          <w:bCs/>
          <w:szCs w:val="24"/>
        </w:rPr>
      </w:pPr>
      <w:r>
        <w:rPr>
          <w:rFonts w:ascii="宋体" w:eastAsia="宋体" w:hAnsi="宋体" w:cs="Times New Roman" w:hint="eastAsia"/>
          <w:bCs/>
          <w:szCs w:val="24"/>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2" w:firstLineChars="196"/>
        <w:rPr>
          <w:rFonts w:ascii="宋体" w:eastAsia="宋体" w:hAnsi="宋体" w:cs="Times New Roman"/>
          <w:bCs/>
          <w:szCs w:val="24"/>
        </w:rPr>
      </w:pPr>
      <w:r>
        <w:rPr>
          <w:rFonts w:ascii="宋体" w:eastAsia="宋体" w:hAnsi="宋体" w:cs="Times New Roman" w:hint="eastAsia"/>
          <w:bCs/>
          <w:szCs w:val="24"/>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eastAsia="宋体" w:hAnsi="宋体" w:cs="Times New Roman" w:hint="eastAsia"/>
          <w:bCs/>
          <w:szCs w:val="21"/>
        </w:rPr>
        <w:t>评审委员会</w:t>
      </w:r>
      <w:r>
        <w:rPr>
          <w:rFonts w:ascii="宋体" w:eastAsia="宋体" w:hAnsi="宋体" w:cs="Times New Roman" w:hint="eastAsia"/>
          <w:bCs/>
          <w:szCs w:val="24"/>
        </w:rPr>
        <w:t>按照招标文件规定的方式确定一个投标人获得中标人推荐资格，招标文件未规定的采取随机抽取方式确定，其他同品牌投标人不作为中标候选人。</w:t>
      </w:r>
    </w:p>
    <w:p>
      <w:pPr>
        <w:ind w:firstLine="412" w:firstLineChars="196"/>
        <w:rPr>
          <w:rFonts w:ascii="宋体" w:eastAsia="宋体" w:hAnsi="宋体" w:cs="Times New Roman"/>
          <w:bCs/>
          <w:szCs w:val="24"/>
        </w:rPr>
      </w:pPr>
      <w:r>
        <w:rPr>
          <w:rFonts w:ascii="宋体" w:eastAsia="宋体" w:hAnsi="宋体" w:cs="Times New Roman" w:hint="eastAsia"/>
          <w:bCs/>
          <w:szCs w:val="24"/>
        </w:rPr>
        <w:t>32.3.3非单一产品采购项目，采购人应当根据采购项目技术构成、产品价格比重等合理确定核心产品，并在招标文件中载明。多家投标人提供的核心产品品牌相同的，按前两款规定处理。</w:t>
      </w:r>
    </w:p>
    <w:p>
      <w:pPr>
        <w:ind w:firstLine="412" w:firstLineChars="196"/>
        <w:rPr>
          <w:rFonts w:ascii="宋体" w:eastAsia="宋体" w:hAnsi="宋体" w:cs="Times New Roman"/>
          <w:szCs w:val="24"/>
        </w:rPr>
      </w:pPr>
      <w:r>
        <w:rPr>
          <w:rFonts w:ascii="宋体" w:eastAsia="宋体" w:hAnsi="宋体" w:cs="Times New Roman" w:hint="eastAsia"/>
          <w:szCs w:val="24"/>
        </w:rPr>
        <w:t>32.4投标人投标文件作无效处理的情形，具体包括但不限于以下：</w:t>
      </w:r>
    </w:p>
    <w:p>
      <w:pPr>
        <w:ind w:firstLine="412" w:firstLineChars="196"/>
        <w:rPr>
          <w:rFonts w:ascii="Times New Roman" w:eastAsia="宋体" w:hAnsi="Times New Roman" w:cs="Times New Roman"/>
          <w:szCs w:val="24"/>
        </w:rPr>
      </w:pPr>
      <w:r>
        <w:rPr>
          <w:rFonts w:ascii="宋体" w:eastAsia="宋体" w:hAnsi="宋体" w:cs="Times New Roman" w:hint="eastAsia"/>
          <w:szCs w:val="24"/>
        </w:rPr>
        <w:t>32.4.1</w:t>
      </w:r>
      <w:r>
        <w:rPr>
          <w:rFonts w:ascii="Times New Roman" w:eastAsia="宋体" w:hAnsi="Times New Roman" w:cs="Times New Roman" w:hint="eastAsia"/>
          <w:szCs w:val="24"/>
        </w:rPr>
        <w:t>不同投标人的投标文件由同一单位或者同一个人编制，或者由同一个人分阶段参与编制；</w:t>
      </w:r>
    </w:p>
    <w:p>
      <w:pPr>
        <w:ind w:firstLine="412" w:firstLineChars="196"/>
        <w:rPr>
          <w:rFonts w:ascii="Times New Roman" w:eastAsia="宋体" w:hAnsi="Times New Roman" w:cs="Times New Roman"/>
          <w:szCs w:val="24"/>
        </w:rPr>
      </w:pPr>
      <w:r>
        <w:rPr>
          <w:rFonts w:ascii="宋体" w:eastAsia="宋体" w:hAnsi="宋体" w:cs="Times New Roman"/>
          <w:szCs w:val="24"/>
        </w:rPr>
        <w:t>32.4.</w:t>
      </w:r>
      <w:r>
        <w:rPr>
          <w:rFonts w:ascii="宋体" w:eastAsia="宋体" w:hAnsi="宋体" w:cs="Times New Roman" w:hint="eastAsia"/>
          <w:szCs w:val="24"/>
        </w:rPr>
        <w:t>2</w:t>
      </w:r>
      <w:r>
        <w:rPr>
          <w:rFonts w:ascii="Times New Roman" w:eastAsia="宋体" w:hAnsi="Times New Roman" w:cs="Times New Roman" w:hint="eastAsia"/>
          <w:szCs w:val="24"/>
        </w:rPr>
        <w:t>不同投标人委托同一单位或者个人办理投标事宜；</w:t>
      </w:r>
    </w:p>
    <w:p>
      <w:pPr>
        <w:ind w:firstLine="412" w:firstLineChars="196"/>
        <w:rPr>
          <w:rFonts w:ascii="宋体" w:eastAsia="宋体" w:hAnsi="宋体" w:cs="Times New Roman"/>
          <w:szCs w:val="24"/>
        </w:rPr>
      </w:pPr>
      <w:r>
        <w:rPr>
          <w:rFonts w:ascii="宋体" w:eastAsia="宋体" w:hAnsi="宋体" w:cs="Times New Roman" w:hint="eastAsia"/>
          <w:szCs w:val="24"/>
        </w:rPr>
        <w:t>32.4.3不同投标人的投标文件载明的项目管理成员或者联系人员为同一人；</w:t>
      </w:r>
    </w:p>
    <w:p>
      <w:pPr>
        <w:ind w:firstLine="412" w:firstLineChars="196"/>
        <w:rPr>
          <w:rFonts w:ascii="宋体" w:eastAsia="宋体" w:hAnsi="宋体" w:cs="Times New Roman"/>
          <w:szCs w:val="24"/>
        </w:rPr>
      </w:pPr>
      <w:r>
        <w:rPr>
          <w:rFonts w:ascii="宋体" w:eastAsia="宋体" w:hAnsi="宋体" w:cs="Times New Roman" w:hint="eastAsia"/>
          <w:szCs w:val="24"/>
        </w:rPr>
        <w:t>32.4.4不同投标人的投标文件异常一致或者投标报价呈规律性差异；</w:t>
      </w:r>
    </w:p>
    <w:p>
      <w:pPr>
        <w:ind w:firstLine="412" w:firstLineChars="196"/>
        <w:rPr>
          <w:rFonts w:ascii="宋体" w:eastAsia="宋体" w:hAnsi="宋体" w:cs="Times New Roman"/>
          <w:szCs w:val="24"/>
        </w:rPr>
      </w:pPr>
      <w:r>
        <w:rPr>
          <w:rFonts w:ascii="宋体" w:eastAsia="宋体" w:hAnsi="宋体" w:cs="Times New Roman" w:hint="eastAsia"/>
          <w:szCs w:val="24"/>
        </w:rPr>
        <w:t>32.4.5</w:t>
      </w:r>
      <w:r>
        <w:rPr>
          <w:rFonts w:ascii="宋体" w:eastAsia="宋体" w:hAnsi="宋体" w:cs="Times New Roman"/>
          <w:szCs w:val="24"/>
        </w:rPr>
        <w:t>不同投标供应商的投标文件或部分投标文件相互混装</w:t>
      </w:r>
      <w:r>
        <w:rPr>
          <w:rFonts w:ascii="宋体" w:eastAsia="宋体" w:hAnsi="宋体" w:cs="Times New Roman" w:hint="eastAsia"/>
          <w:szCs w:val="24"/>
        </w:rPr>
        <w:t>；</w:t>
      </w:r>
    </w:p>
    <w:p>
      <w:pPr>
        <w:ind w:firstLine="412" w:firstLineChars="196"/>
        <w:rPr>
          <w:rFonts w:ascii="宋体" w:eastAsia="宋体" w:hAnsi="宋体" w:cs="Times New Roman"/>
          <w:szCs w:val="24"/>
        </w:rPr>
      </w:pPr>
      <w:r>
        <w:rPr>
          <w:rFonts w:ascii="宋体" w:eastAsia="宋体" w:hAnsi="宋体" w:cs="Times New Roman" w:hint="eastAsia"/>
          <w:szCs w:val="24"/>
        </w:rPr>
        <w:t>32.4.6投标供应商之间相互约定给予未中标的供应商利益补偿；</w:t>
      </w:r>
    </w:p>
    <w:p>
      <w:pPr>
        <w:ind w:firstLine="412" w:firstLineChars="196"/>
        <w:rPr>
          <w:rFonts w:ascii="宋体" w:eastAsia="宋体" w:hAnsi="宋体" w:cs="Times New Roman"/>
          <w:szCs w:val="24"/>
        </w:rPr>
      </w:pPr>
      <w:r>
        <w:rPr>
          <w:rFonts w:ascii="宋体" w:eastAsia="宋体" w:hAnsi="宋体" w:cs="Times New Roman" w:hint="eastAsia"/>
          <w:szCs w:val="24"/>
        </w:rPr>
        <w:t>32.4.7不同投标供应商的法定代表人、主要经营负责人、项目投标授权代表人、项目负责人、主要技术人员为同一人、属同一单位或者同一单位缴纳社会保险；</w:t>
      </w:r>
    </w:p>
    <w:p>
      <w:pPr>
        <w:ind w:firstLine="412" w:firstLineChars="196"/>
        <w:rPr>
          <w:rFonts w:ascii="宋体" w:eastAsia="宋体" w:hAnsi="宋体" w:cs="Times New Roman"/>
          <w:szCs w:val="24"/>
        </w:rPr>
      </w:pPr>
      <w:r>
        <w:rPr>
          <w:rFonts w:ascii="宋体" w:eastAsia="宋体" w:hAnsi="宋体" w:cs="Times New Roman" w:hint="eastAsia"/>
          <w:szCs w:val="24"/>
        </w:rPr>
        <w:t>32.4.8不同投标供应商的投标文件内容存在非正常一致；</w:t>
      </w:r>
    </w:p>
    <w:p>
      <w:pPr>
        <w:ind w:firstLine="412" w:firstLineChars="196"/>
        <w:rPr>
          <w:rFonts w:ascii="宋体" w:eastAsia="宋体" w:hAnsi="宋体" w:cs="Times New Roman"/>
          <w:szCs w:val="24"/>
        </w:rPr>
      </w:pPr>
      <w:r>
        <w:rPr>
          <w:rFonts w:ascii="宋体" w:eastAsia="宋体" w:hAnsi="宋体" w:cs="Times New Roman" w:hint="eastAsia"/>
          <w:szCs w:val="24"/>
        </w:rPr>
        <w:t>32.4.9在同一单位工作人员为两家以上（含两家）供应商进行同一项投标活动；</w:t>
      </w:r>
    </w:p>
    <w:p>
      <w:pPr>
        <w:ind w:firstLine="412" w:firstLineChars="196"/>
        <w:rPr>
          <w:rFonts w:ascii="宋体" w:eastAsia="宋体" w:hAnsi="宋体" w:cs="Times New Roman"/>
          <w:szCs w:val="24"/>
        </w:rPr>
      </w:pPr>
      <w:r>
        <w:rPr>
          <w:rFonts w:ascii="宋体" w:eastAsia="宋体" w:hAnsi="宋体" w:cs="Times New Roman" w:hint="eastAsia"/>
          <w:szCs w:val="24"/>
        </w:rPr>
        <w:t>32.4.10主管部门依照法律、法规认定的其他情形。</w:t>
      </w:r>
    </w:p>
    <w:p>
      <w:pPr>
        <w:ind w:firstLine="412" w:firstLineChars="196"/>
        <w:rPr>
          <w:rFonts w:ascii="宋体" w:eastAsia="宋体" w:hAnsi="宋体" w:cs="Times New Roman"/>
          <w:szCs w:val="24"/>
        </w:rPr>
      </w:pPr>
      <w:r>
        <w:rPr>
          <w:rFonts w:ascii="宋体" w:eastAsia="宋体" w:hAnsi="宋体" w:cs="Times New Roman" w:hint="eastAsia"/>
          <w:szCs w:val="24"/>
        </w:rPr>
        <w:t>32.5对不属于《资格性审查表》和《符合性审查表》所列的其他情形，除专用条款另有规定和32.4条款所列情形外，不得作为投标无效的理由。</w:t>
      </w:r>
    </w:p>
    <w:p>
      <w:pPr>
        <w:rPr>
          <w:rFonts w:ascii="黑体" w:eastAsia="黑体" w:hAnsi="宋体" w:cs="Times New Roman"/>
          <w:sz w:val="24"/>
          <w:szCs w:val="24"/>
        </w:rPr>
      </w:pPr>
      <w:r>
        <w:rPr>
          <w:rFonts w:ascii="黑体" w:eastAsia="黑体" w:hAnsi="宋体" w:cs="Times New Roman" w:hint="eastAsia"/>
          <w:sz w:val="24"/>
          <w:szCs w:val="24"/>
        </w:rPr>
        <w:t>33．澄清有关问题</w:t>
      </w:r>
    </w:p>
    <w:p>
      <w:pPr>
        <w:ind w:firstLine="412" w:firstLineChars="196"/>
        <w:rPr>
          <w:rFonts w:ascii="宋体" w:eastAsia="宋体" w:hAnsi="宋体" w:cs="Times New Roman"/>
          <w:szCs w:val="24"/>
        </w:rPr>
      </w:pPr>
      <w:bookmarkStart w:id="35" w:name="_Hlk71407321"/>
      <w:r>
        <w:rPr>
          <w:rFonts w:ascii="宋体" w:eastAsia="宋体" w:hAnsi="宋体" w:cs="Times New Roman" w:hint="eastAsia"/>
          <w:szCs w:val="24"/>
        </w:rPr>
        <w:t>3</w:t>
      </w:r>
      <w:r>
        <w:rPr>
          <w:rFonts w:ascii="宋体" w:eastAsia="宋体" w:hAnsi="宋体" w:cs="Times New Roman"/>
          <w:szCs w:val="24"/>
        </w:rPr>
        <w:t>3.1</w:t>
      </w:r>
      <w:r>
        <w:rPr>
          <w:rFonts w:ascii="宋体" w:eastAsia="宋体" w:hAnsi="宋体" w:cs="Times New Roman" w:hint="eastAsia"/>
          <w:szCs w:val="24"/>
        </w:rPr>
        <w:t>对招标文件中描述有歧义或前后不一致的地方（不含</w:t>
      </w:r>
      <w:r>
        <w:rPr>
          <w:rFonts w:ascii="Times New Roman" w:eastAsia="宋体" w:hAnsi="Times New Roman" w:cs="Times New Roman"/>
          <w:szCs w:val="21"/>
        </w:rPr>
        <w:t>招标文件存在歧义、重大缺陷导致评</w:t>
      </w:r>
      <w:r>
        <w:rPr>
          <w:rFonts w:ascii="Times New Roman" w:eastAsia="宋体" w:hAnsi="Times New Roman" w:cs="Times New Roman" w:hint="eastAsia"/>
          <w:szCs w:val="21"/>
        </w:rPr>
        <w:t>审</w:t>
      </w:r>
      <w:r>
        <w:rPr>
          <w:rFonts w:ascii="Times New Roman" w:eastAsia="宋体" w:hAnsi="Times New Roman" w:cs="Times New Roman"/>
          <w:szCs w:val="21"/>
        </w:rPr>
        <w:t>工作无法进行</w:t>
      </w:r>
      <w:r>
        <w:rPr>
          <w:rFonts w:ascii="Times New Roman" w:eastAsia="宋体" w:hAnsi="Times New Roman" w:cs="Times New Roman" w:hint="eastAsia"/>
          <w:szCs w:val="21"/>
        </w:rPr>
        <w:t>的情况）</w:t>
      </w:r>
      <w:r>
        <w:rPr>
          <w:rFonts w:ascii="宋体" w:eastAsia="宋体" w:hAnsi="宋体" w:cs="Times New Roman" w:hint="eastAsia"/>
          <w:szCs w:val="24"/>
        </w:rPr>
        <w:t>，评审委员会有权进行评判，但对同一条款的评判应适用于每个投标人。</w:t>
      </w:r>
      <w:bookmarkEnd w:id="35"/>
    </w:p>
    <w:p>
      <w:pPr>
        <w:ind w:firstLine="412" w:firstLineChars="196"/>
        <w:rPr>
          <w:rFonts w:ascii="宋体" w:eastAsia="宋体" w:hAnsi="宋体" w:cs="Times New Roman"/>
          <w:szCs w:val="24"/>
        </w:rPr>
      </w:pPr>
      <w:r>
        <w:rPr>
          <w:rFonts w:ascii="宋体" w:eastAsia="宋体" w:hAnsi="宋体" w:cs="Times New Roman" w:hint="eastAsia"/>
          <w:szCs w:val="24"/>
        </w:rPr>
        <w:t>3</w:t>
      </w:r>
      <w:r>
        <w:rPr>
          <w:rFonts w:ascii="宋体" w:eastAsia="宋体" w:hAnsi="宋体" w:cs="Times New Roman"/>
          <w:szCs w:val="24"/>
        </w:rPr>
        <w:t>3.2</w:t>
      </w:r>
      <w:r>
        <w:rPr>
          <w:rFonts w:ascii="Times New Roman" w:eastAsia="宋体" w:hAnsi="Times New Roman" w:cs="Times New Roman"/>
          <w:szCs w:val="21"/>
        </w:rPr>
        <w:t>评</w:t>
      </w:r>
      <w:r>
        <w:rPr>
          <w:rFonts w:ascii="Times New Roman" w:eastAsia="宋体" w:hAnsi="Times New Roman" w:cs="Times New Roman" w:hint="eastAsia"/>
          <w:szCs w:val="21"/>
        </w:rPr>
        <w:t>审</w:t>
      </w:r>
      <w:r>
        <w:rPr>
          <w:rFonts w:ascii="Times New Roman" w:eastAsia="宋体" w:hAnsi="Times New Roman" w:cs="Times New Roman"/>
          <w:szCs w:val="21"/>
        </w:rPr>
        <w:t>委员会发现招标文件存在歧义、重大缺陷导致评</w:t>
      </w:r>
      <w:r>
        <w:rPr>
          <w:rFonts w:ascii="Times New Roman" w:eastAsia="宋体" w:hAnsi="Times New Roman" w:cs="Times New Roman" w:hint="eastAsia"/>
          <w:szCs w:val="21"/>
        </w:rPr>
        <w:t>审</w:t>
      </w:r>
      <w:r>
        <w:rPr>
          <w:rFonts w:ascii="Times New Roman" w:eastAsia="宋体" w:hAnsi="Times New Roman" w:cs="Times New Roman"/>
          <w:szCs w:val="21"/>
        </w:rPr>
        <w:t>工作无法进行，或者招标文件内容违反国家有关强制性规定的，应当停止评</w:t>
      </w:r>
      <w:r>
        <w:rPr>
          <w:rFonts w:ascii="Times New Roman" w:eastAsia="宋体" w:hAnsi="Times New Roman" w:cs="Times New Roman" w:hint="eastAsia"/>
          <w:szCs w:val="21"/>
        </w:rPr>
        <w:t>审</w:t>
      </w:r>
      <w:r>
        <w:rPr>
          <w:rFonts w:ascii="Times New Roman" w:eastAsia="宋体" w:hAnsi="Times New Roman" w:cs="Times New Roman"/>
          <w:szCs w:val="21"/>
        </w:rPr>
        <w:t>工作，与</w:t>
      </w:r>
      <w:r>
        <w:rPr>
          <w:rFonts w:ascii="Times New Roman" w:eastAsia="宋体" w:hAnsi="Times New Roman" w:cs="Times New Roman" w:hint="eastAsia"/>
          <w:szCs w:val="21"/>
        </w:rPr>
        <w:t>政府集中采购机构</w:t>
      </w:r>
      <w:r>
        <w:rPr>
          <w:rFonts w:ascii="Times New Roman" w:eastAsia="宋体" w:hAnsi="Times New Roman" w:cs="Times New Roman"/>
          <w:szCs w:val="21"/>
        </w:rPr>
        <w:t>沟通并作书面记录。</w:t>
      </w:r>
      <w:r>
        <w:rPr>
          <w:rFonts w:ascii="Times New Roman" w:eastAsia="宋体" w:hAnsi="Times New Roman" w:cs="Times New Roman" w:hint="eastAsia"/>
          <w:szCs w:val="21"/>
        </w:rPr>
        <w:t>经</w:t>
      </w:r>
      <w:r>
        <w:rPr>
          <w:rFonts w:ascii="Times New Roman" w:eastAsia="宋体" w:hAnsi="Times New Roman" w:cs="Times New Roman"/>
          <w:szCs w:val="21"/>
        </w:rPr>
        <w:t>确认后，</w:t>
      </w:r>
      <w:r>
        <w:rPr>
          <w:rFonts w:ascii="Times New Roman" w:eastAsia="宋体" w:hAnsi="Times New Roman" w:cs="Times New Roman" w:hint="eastAsia"/>
          <w:szCs w:val="21"/>
        </w:rPr>
        <w:t>项目</w:t>
      </w:r>
      <w:r>
        <w:rPr>
          <w:rFonts w:ascii="Times New Roman" w:eastAsia="宋体" w:hAnsi="Times New Roman" w:cs="Times New Roman"/>
          <w:szCs w:val="21"/>
        </w:rPr>
        <w:t>应当修改招标文件，重新组织采购活动。</w:t>
      </w:r>
    </w:p>
    <w:p>
      <w:pPr>
        <w:ind w:firstLine="412" w:firstLineChars="196"/>
        <w:rPr>
          <w:rFonts w:ascii="宋体" w:eastAsia="宋体" w:hAnsi="宋体" w:cs="Times New Roman"/>
          <w:szCs w:val="24"/>
        </w:rPr>
      </w:pPr>
      <w:r>
        <w:rPr>
          <w:rFonts w:ascii="宋体" w:eastAsia="宋体" w:hAnsi="宋体" w:cs="Times New Roman"/>
          <w:szCs w:val="24"/>
        </w:rPr>
        <w:t>33.3</w:t>
      </w:r>
      <w:r>
        <w:rPr>
          <w:rFonts w:ascii="宋体" w:eastAsia="宋体" w:hAnsi="宋体" w:cs="Times New Roman" w:hint="eastAsia"/>
          <w:szCs w:val="24"/>
        </w:rPr>
        <w:t>对于投标文件中含义不明确、同类问题表述不一致或者有明显文字和计算错误的内容，评审委员会应当以书面形式要求投标人作出必要的澄清、说明或者补正。</w:t>
      </w:r>
    </w:p>
    <w:p>
      <w:pPr>
        <w:ind w:firstLine="412" w:firstLineChars="196"/>
        <w:rPr>
          <w:rFonts w:ascii="宋体" w:eastAsia="宋体" w:hAnsi="宋体" w:cs="Times New Roman"/>
          <w:szCs w:val="24"/>
        </w:rPr>
      </w:pPr>
      <w:r>
        <w:rPr>
          <w:rFonts w:ascii="宋体" w:eastAsia="宋体" w:hAnsi="宋体" w:cs="Times New Roman" w:hint="eastAsia"/>
          <w:szCs w:val="24"/>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2" w:firstLineChars="196"/>
        <w:rPr>
          <w:rFonts w:ascii="宋体" w:eastAsia="宋体" w:hAnsi="宋体" w:cs="Times New Roman"/>
          <w:szCs w:val="21"/>
        </w:rPr>
      </w:pPr>
      <w:r>
        <w:rPr>
          <w:rFonts w:ascii="宋体" w:eastAsia="宋体" w:hAnsi="宋体" w:cs="Times New Roman" w:hint="eastAsia"/>
          <w:szCs w:val="21"/>
        </w:rPr>
        <w:t>根据本通用条款第34条，凡属于评审委员会在评审中发现的算术错误进行核实的修改不在此列。</w:t>
      </w:r>
    </w:p>
    <w:p>
      <w:pPr>
        <w:rPr>
          <w:rFonts w:ascii="黑体" w:eastAsia="黑体" w:hAnsi="宋体" w:cs="Times New Roman"/>
          <w:sz w:val="24"/>
          <w:szCs w:val="24"/>
        </w:rPr>
      </w:pPr>
      <w:bookmarkStart w:id="36" w:name="_Toc73517673"/>
      <w:bookmarkStart w:id="37" w:name="_Toc73518151"/>
      <w:bookmarkStart w:id="38" w:name="_Toc100052400"/>
      <w:bookmarkStart w:id="39" w:name="_Toc73521581"/>
      <w:bookmarkStart w:id="40" w:name="_Toc73521669"/>
      <w:r>
        <w:rPr>
          <w:rFonts w:ascii="黑体" w:eastAsia="黑体" w:hAnsi="宋体" w:cs="Times New Roman" w:hint="eastAsia"/>
          <w:sz w:val="24"/>
          <w:szCs w:val="24"/>
        </w:rPr>
        <w:t>34．错误的修正</w:t>
      </w:r>
      <w:bookmarkEnd w:id="36"/>
      <w:bookmarkEnd w:id="37"/>
      <w:bookmarkEnd w:id="38"/>
      <w:bookmarkEnd w:id="39"/>
      <w:bookmarkEnd w:id="40"/>
    </w:p>
    <w:p>
      <w:pPr>
        <w:ind w:firstLine="412" w:firstLineChars="196"/>
        <w:rPr>
          <w:rFonts w:ascii="宋体" w:eastAsia="宋体" w:hAnsi="宋体" w:cs="Times New Roman"/>
          <w:szCs w:val="21"/>
        </w:rPr>
      </w:pPr>
      <w:r>
        <w:rPr>
          <w:rFonts w:ascii="宋体" w:eastAsia="宋体" w:hAnsi="宋体" w:cs="Times New Roman" w:hint="eastAsia"/>
          <w:szCs w:val="21"/>
        </w:rPr>
        <w:t>投标文件报价出现前后不一致的，除专用条款另有规定外，按照下列规定修正：</w:t>
      </w:r>
    </w:p>
    <w:p>
      <w:pPr>
        <w:ind w:firstLine="412" w:firstLineChars="196"/>
        <w:rPr>
          <w:rFonts w:ascii="宋体" w:eastAsia="宋体" w:hAnsi="宋体" w:cs="Times New Roman"/>
          <w:szCs w:val="21"/>
        </w:rPr>
      </w:pPr>
      <w:r>
        <w:rPr>
          <w:rFonts w:ascii="宋体" w:eastAsia="宋体" w:hAnsi="宋体" w:cs="Times New Roman" w:hint="eastAsia"/>
          <w:szCs w:val="21"/>
        </w:rPr>
        <w:t>34.1投标文件中开标一览表投标报价内容与投标文件中投标报价相应内容不一致的，以开标一览表为准；</w:t>
      </w:r>
    </w:p>
    <w:p>
      <w:pPr>
        <w:ind w:firstLine="412" w:firstLineChars="196"/>
        <w:rPr>
          <w:rFonts w:ascii="宋体" w:eastAsia="宋体" w:hAnsi="宋体" w:cs="Times New Roman"/>
          <w:szCs w:val="21"/>
        </w:rPr>
      </w:pPr>
      <w:r>
        <w:rPr>
          <w:rFonts w:ascii="宋体" w:eastAsia="宋体" w:hAnsi="宋体" w:cs="Times New Roman" w:hint="eastAsia"/>
          <w:szCs w:val="21"/>
        </w:rPr>
        <w:t>34.2大写金额和小写金额不一致的，以大写金额为准；</w:t>
      </w:r>
    </w:p>
    <w:p>
      <w:pPr>
        <w:ind w:firstLine="412" w:firstLineChars="196"/>
        <w:rPr>
          <w:rFonts w:ascii="宋体" w:eastAsia="宋体" w:hAnsi="宋体" w:cs="Times New Roman"/>
          <w:szCs w:val="21"/>
        </w:rPr>
      </w:pPr>
      <w:r>
        <w:rPr>
          <w:rFonts w:ascii="宋体" w:eastAsia="宋体" w:hAnsi="宋体" w:cs="Times New Roman" w:hint="eastAsia"/>
          <w:szCs w:val="21"/>
        </w:rPr>
        <w:t>34.3单价金额小数点或者百分比有明显错位，以开标一览表的总价为准，并修改单价；</w:t>
      </w:r>
    </w:p>
    <w:p>
      <w:pPr>
        <w:ind w:firstLine="412" w:firstLineChars="196"/>
        <w:rPr>
          <w:rFonts w:ascii="宋体" w:eastAsia="宋体" w:hAnsi="宋体" w:cs="Times New Roman"/>
          <w:szCs w:val="21"/>
        </w:rPr>
      </w:pPr>
      <w:r>
        <w:rPr>
          <w:rFonts w:ascii="宋体" w:eastAsia="宋体" w:hAnsi="宋体" w:cs="Times New Roman" w:hint="eastAsia"/>
          <w:szCs w:val="21"/>
        </w:rPr>
        <w:t>34.4总价金额与按单价汇总金额不一致的，以单价金额计算结果为准。</w:t>
      </w:r>
    </w:p>
    <w:p>
      <w:pPr>
        <w:ind w:firstLine="412" w:firstLineChars="196"/>
        <w:rPr>
          <w:rFonts w:ascii="宋体" w:eastAsia="宋体" w:hAnsi="宋体" w:cs="Times New Roman"/>
          <w:szCs w:val="21"/>
        </w:rPr>
      </w:pPr>
      <w:r>
        <w:rPr>
          <w:rFonts w:ascii="宋体" w:eastAsia="宋体" w:hAnsi="宋体" w:cs="Times New Roman" w:hint="eastAsia"/>
          <w:szCs w:val="21"/>
        </w:rPr>
        <w:t>34.5同时出现两种以上不一致的，按照前款规定的顺序修正。修正后的报价按照本通用条款33条的规定，经投标人确认后产生约束力，投标人不确认的，其投标无效。</w:t>
      </w:r>
    </w:p>
    <w:p>
      <w:pPr>
        <w:rPr>
          <w:rFonts w:ascii="黑体" w:eastAsia="黑体" w:hAnsi="宋体" w:cs="Times New Roman"/>
          <w:sz w:val="24"/>
          <w:szCs w:val="24"/>
        </w:rPr>
      </w:pPr>
      <w:r>
        <w:rPr>
          <w:rFonts w:ascii="黑体" w:eastAsia="黑体" w:hAnsi="宋体" w:cs="Times New Roman" w:hint="eastAsia"/>
          <w:sz w:val="24"/>
          <w:szCs w:val="24"/>
        </w:rPr>
        <w:t>35．投标文件的比较与评价</w:t>
      </w:r>
    </w:p>
    <w:p>
      <w:pPr>
        <w:ind w:firstLine="412" w:firstLineChars="196"/>
        <w:rPr>
          <w:rFonts w:ascii="宋体" w:eastAsia="宋体" w:hAnsi="宋体" w:cs="Times New Roman"/>
          <w:szCs w:val="21"/>
        </w:rPr>
      </w:pPr>
      <w:r>
        <w:rPr>
          <w:rFonts w:ascii="宋体" w:eastAsia="宋体" w:hAnsi="宋体" w:cs="Times New Roman"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2" w:firstLineChars="196"/>
        <w:rPr>
          <w:rFonts w:ascii="宋体" w:eastAsia="宋体" w:hAnsi="宋体" w:cs="Times New Roman"/>
          <w:szCs w:val="21"/>
        </w:rPr>
      </w:pPr>
      <w:r>
        <w:rPr>
          <w:rFonts w:ascii="宋体" w:eastAsia="宋体" w:hAnsi="宋体" w:cs="Times New Roman" w:hint="eastAsia"/>
          <w:szCs w:val="21"/>
        </w:rPr>
        <w:t>评审委员会成员对需要共同认定的事项存在争议的，应当按照少数服从多数的原则作出结论。持不同意见的评审委员会成员应当书面作出说明，否则视为无异议。</w:t>
      </w:r>
    </w:p>
    <w:p>
      <w:pPr>
        <w:rPr>
          <w:rFonts w:ascii="黑体" w:eastAsia="黑体" w:hAnsi="宋体" w:cs="Times New Roman"/>
          <w:sz w:val="24"/>
          <w:szCs w:val="24"/>
        </w:rPr>
      </w:pPr>
      <w:r>
        <w:rPr>
          <w:rFonts w:ascii="黑体" w:eastAsia="黑体" w:hAnsi="宋体" w:cs="Times New Roman" w:hint="eastAsia"/>
          <w:sz w:val="24"/>
          <w:szCs w:val="24"/>
        </w:rPr>
        <w:t>36. 实地考察或资料查验</w:t>
      </w:r>
    </w:p>
    <w:p>
      <w:pPr>
        <w:ind w:firstLine="412" w:firstLineChars="196"/>
        <w:rPr>
          <w:rFonts w:ascii="宋体" w:eastAsia="宋体" w:hAnsi="宋体" w:cs="Times New Roman"/>
          <w:szCs w:val="21"/>
        </w:rPr>
      </w:pPr>
      <w:r>
        <w:rPr>
          <w:rFonts w:ascii="宋体" w:eastAsia="宋体" w:hAnsi="宋体" w:cs="Times New Roman" w:hint="eastAsia"/>
          <w:szCs w:val="21"/>
        </w:rPr>
        <w:t>36.1在评审过程中，评审委员会有权决定是否对本项目投标人进行实地考察或资料查验（原件）。投标人应随时做好接受实地考察或资料查验的准备。</w:t>
      </w:r>
    </w:p>
    <w:p>
      <w:pPr>
        <w:rPr>
          <w:rFonts w:ascii="黑体" w:eastAsia="黑体" w:hAnsi="宋体" w:cs="Times New Roman"/>
          <w:sz w:val="24"/>
          <w:szCs w:val="24"/>
        </w:rPr>
      </w:pPr>
      <w:r>
        <w:rPr>
          <w:rFonts w:ascii="黑体" w:eastAsia="黑体" w:hAnsi="宋体" w:cs="Times New Roman" w:hint="eastAsia"/>
          <w:sz w:val="24"/>
          <w:szCs w:val="24"/>
        </w:rPr>
        <w:t>37．评审方法</w:t>
      </w:r>
    </w:p>
    <w:p>
      <w:pPr>
        <w:ind w:firstLine="412" w:firstLineChars="196"/>
        <w:rPr>
          <w:rFonts w:ascii="宋体" w:eastAsia="宋体" w:hAnsi="宋体" w:cs="Times New Roman"/>
          <w:b/>
          <w:bCs/>
          <w:szCs w:val="21"/>
        </w:rPr>
      </w:pPr>
      <w:r>
        <w:rPr>
          <w:rFonts w:ascii="宋体" w:eastAsia="宋体" w:hAnsi="宋体" w:cs="Times New Roman" w:hint="eastAsia"/>
          <w:b/>
          <w:bCs/>
          <w:szCs w:val="21"/>
        </w:rPr>
        <w:t>37.1.1最低价法</w:t>
      </w:r>
    </w:p>
    <w:p>
      <w:pPr>
        <w:ind w:firstLine="412" w:firstLineChars="196"/>
        <w:rPr>
          <w:rFonts w:ascii="ˎ̥" w:eastAsia="宋体" w:hAnsi="ˎ̥" w:cs="Times New Roman"/>
          <w:szCs w:val="24"/>
        </w:rPr>
      </w:pPr>
      <w:bookmarkStart w:id="41" w:name="_Hlk72438142"/>
      <w:r>
        <w:rPr>
          <w:rFonts w:ascii="ˎ̥" w:eastAsia="宋体" w:hAnsi="ˎ̥" w:cs="Times New Roman"/>
          <w:szCs w:val="24"/>
        </w:rPr>
        <w:t>最低价法，是指</w:t>
      </w:r>
      <w:r>
        <w:rPr>
          <w:rFonts w:ascii="ˎ̥" w:eastAsia="宋体" w:hAnsi="ˎ̥" w:cs="Times New Roman" w:hint="eastAsia"/>
          <w:szCs w:val="24"/>
        </w:rPr>
        <w:t>完全</w:t>
      </w:r>
      <w:r>
        <w:rPr>
          <w:rFonts w:ascii="ˎ̥" w:eastAsia="宋体" w:hAnsi="ˎ̥" w:cs="Times New Roman"/>
          <w:szCs w:val="24"/>
        </w:rPr>
        <w:t>满足招标文件实质性要求，</w:t>
      </w:r>
      <w:r>
        <w:rPr>
          <w:rFonts w:ascii="ˎ̥" w:eastAsia="宋体" w:hAnsi="ˎ̥" w:cs="Times New Roman" w:hint="eastAsia"/>
          <w:szCs w:val="24"/>
        </w:rPr>
        <w:t>按照报价由低到高的顺序，依据招标文件中规定的数量或者比例推荐候选中标供应商。</w:t>
      </w:r>
    </w:p>
    <w:p>
      <w:pPr>
        <w:ind w:firstLine="412" w:firstLineChars="196"/>
        <w:rPr>
          <w:rFonts w:ascii="宋体" w:eastAsia="宋体" w:hAnsi="宋体" w:cs="Times New Roman"/>
          <w:b/>
          <w:bCs/>
          <w:szCs w:val="21"/>
        </w:rPr>
      </w:pPr>
      <w:r>
        <w:rPr>
          <w:rFonts w:ascii="宋体" w:eastAsia="宋体" w:hAnsi="宋体" w:cs="Times New Roman" w:hint="eastAsia"/>
          <w:b/>
          <w:bCs/>
          <w:szCs w:val="21"/>
        </w:rPr>
        <w:t>37.1.2综合评分法</w:t>
      </w:r>
    </w:p>
    <w:p>
      <w:pPr>
        <w:ind w:firstLine="412" w:firstLineChars="196"/>
        <w:rPr>
          <w:rFonts w:ascii="ˎ̥" w:eastAsia="宋体" w:hAnsi="ˎ̥" w:cs="Times New Roman"/>
          <w:szCs w:val="24"/>
        </w:rPr>
      </w:pPr>
      <w:r>
        <w:rPr>
          <w:rFonts w:ascii="ˎ̥" w:eastAsia="宋体" w:hAnsi="ˎ̥" w:cs="Times New Roman"/>
          <w:szCs w:val="24"/>
        </w:rPr>
        <w:t>综合评分法，是指</w:t>
      </w:r>
      <w:r>
        <w:rPr>
          <w:rFonts w:ascii="ˎ̥" w:eastAsia="宋体" w:hAnsi="ˎ̥" w:cs="Times New Roman" w:hint="eastAsia"/>
          <w:szCs w:val="24"/>
        </w:rPr>
        <w:t>在</w:t>
      </w:r>
      <w:r>
        <w:rPr>
          <w:rFonts w:ascii="ˎ̥" w:eastAsia="宋体" w:hAnsi="ˎ̥" w:cs="Times New Roman"/>
          <w:szCs w:val="24"/>
        </w:rPr>
        <w:t>满足招标文件全部实质性要求</w:t>
      </w:r>
      <w:r>
        <w:rPr>
          <w:rFonts w:ascii="ˎ̥" w:eastAsia="宋体" w:hAnsi="ˎ̥" w:cs="Times New Roman" w:hint="eastAsia"/>
          <w:szCs w:val="24"/>
        </w:rPr>
        <w:t>的前提下</w:t>
      </w:r>
      <w:r>
        <w:rPr>
          <w:rFonts w:ascii="ˎ̥" w:eastAsia="宋体" w:hAnsi="ˎ̥" w:cs="Times New Roman"/>
          <w:szCs w:val="24"/>
        </w:rPr>
        <w:t>，</w:t>
      </w:r>
      <w:r>
        <w:rPr>
          <w:rFonts w:ascii="ˎ̥" w:eastAsia="宋体" w:hAnsi="ˎ̥" w:cs="Times New Roman" w:hint="eastAsia"/>
          <w:szCs w:val="24"/>
        </w:rPr>
        <w:t>按照招标文件中规定的各项因素进行综合评审，评审总得分排名前列的投标人，作为推荐的候选中标供应商。</w:t>
      </w:r>
      <w:bookmarkEnd w:id="41"/>
    </w:p>
    <w:p>
      <w:pPr>
        <w:ind w:firstLine="412" w:firstLineChars="196"/>
        <w:rPr>
          <w:rFonts w:ascii="宋体" w:eastAsia="宋体" w:hAnsi="宋体" w:cs="Times New Roman"/>
          <w:b/>
          <w:bCs/>
          <w:szCs w:val="21"/>
        </w:rPr>
      </w:pPr>
      <w:r>
        <w:rPr>
          <w:rFonts w:ascii="宋体" w:eastAsia="宋体" w:hAnsi="宋体" w:cs="Times New Roman" w:hint="eastAsia"/>
          <w:b/>
          <w:bCs/>
          <w:szCs w:val="21"/>
        </w:rPr>
        <w:t>37.2 本项目采用的评审方法见本项目招标文件第一册“专用条款”的相关内容。</w:t>
      </w:r>
    </w:p>
    <w:p>
      <w:pPr>
        <w:ind w:firstLine="412" w:firstLineChars="196"/>
        <w:rPr>
          <w:rFonts w:ascii="宋体" w:eastAsia="宋体" w:hAnsi="宋体" w:cs="Times New Roman"/>
          <w:b/>
          <w:bCs/>
          <w:szCs w:val="21"/>
        </w:rPr>
      </w:pPr>
      <w:r>
        <w:rPr>
          <w:rFonts w:ascii="宋体" w:eastAsia="宋体" w:hAnsi="宋体" w:cs="Times New Roman" w:hint="eastAsia"/>
          <w:b/>
          <w:bCs/>
          <w:szCs w:val="21"/>
        </w:rPr>
        <w:t>37.3重新评审的情形</w:t>
      </w:r>
    </w:p>
    <w:p>
      <w:pPr>
        <w:ind w:firstLine="412" w:firstLineChars="196"/>
        <w:rPr>
          <w:rFonts w:ascii="宋体" w:eastAsia="宋体" w:hAnsi="宋体" w:cs="Times New Roman"/>
          <w:b/>
          <w:bCs/>
          <w:szCs w:val="21"/>
        </w:rPr>
      </w:pPr>
      <w:r>
        <w:rPr>
          <w:rFonts w:ascii="宋体" w:eastAsia="宋体" w:hAnsi="宋体" w:cs="宋体" w:hint="eastAsia"/>
          <w:kern w:val="0"/>
          <w:szCs w:val="21"/>
        </w:rPr>
        <w:t>评审结果汇总完成后，除下列情形外，任何人不得修改评审结果：</w:t>
      </w:r>
    </w:p>
    <w:p>
      <w:pPr>
        <w:ind w:firstLine="412" w:firstLineChars="196"/>
        <w:rPr>
          <w:rFonts w:ascii="宋体" w:eastAsia="宋体" w:hAnsi="宋体" w:cs="宋体"/>
          <w:kern w:val="0"/>
          <w:szCs w:val="21"/>
        </w:rPr>
      </w:pPr>
      <w:r>
        <w:rPr>
          <w:rFonts w:ascii="宋体" w:eastAsia="宋体" w:hAnsi="宋体" w:cs="宋体" w:hint="eastAsia"/>
          <w:kern w:val="0"/>
          <w:szCs w:val="21"/>
        </w:rPr>
        <w:t>37.3.1分值汇总计算错误的；</w:t>
      </w:r>
    </w:p>
    <w:p>
      <w:pPr>
        <w:ind w:firstLine="412" w:firstLineChars="196"/>
        <w:rPr>
          <w:rFonts w:ascii="宋体" w:eastAsia="宋体" w:hAnsi="宋体" w:cs="宋体"/>
          <w:kern w:val="0"/>
          <w:szCs w:val="21"/>
        </w:rPr>
      </w:pPr>
      <w:r>
        <w:rPr>
          <w:rFonts w:ascii="宋体" w:eastAsia="宋体" w:hAnsi="宋体" w:cs="宋体" w:hint="eastAsia"/>
          <w:kern w:val="0"/>
          <w:szCs w:val="21"/>
        </w:rPr>
        <w:t>37.3.2分项评分超出评分标准范围的；</w:t>
      </w:r>
    </w:p>
    <w:p>
      <w:pPr>
        <w:ind w:firstLine="412" w:firstLineChars="196"/>
        <w:rPr>
          <w:rFonts w:ascii="宋体" w:eastAsia="宋体" w:hAnsi="宋体" w:cs="宋体"/>
          <w:kern w:val="0"/>
          <w:szCs w:val="21"/>
        </w:rPr>
      </w:pPr>
      <w:r>
        <w:rPr>
          <w:rFonts w:ascii="宋体" w:eastAsia="宋体" w:hAnsi="宋体" w:cs="宋体" w:hint="eastAsia"/>
          <w:kern w:val="0"/>
          <w:szCs w:val="21"/>
        </w:rPr>
        <w:t>37.3.3评审委员会成员对客观评审因素评分不一致的；</w:t>
      </w:r>
    </w:p>
    <w:p>
      <w:pPr>
        <w:ind w:firstLine="412" w:firstLineChars="196"/>
        <w:rPr>
          <w:rFonts w:ascii="宋体" w:eastAsia="宋体" w:hAnsi="宋体" w:cs="宋体"/>
          <w:kern w:val="0"/>
          <w:szCs w:val="21"/>
        </w:rPr>
      </w:pPr>
      <w:r>
        <w:rPr>
          <w:rFonts w:ascii="宋体" w:eastAsia="宋体" w:hAnsi="宋体" w:cs="宋体" w:hint="eastAsia"/>
          <w:kern w:val="0"/>
          <w:szCs w:val="21"/>
        </w:rPr>
        <w:t>37.3.4经评审委员会认定评分畸高、畸低的。</w:t>
      </w:r>
    </w:p>
    <w:p>
      <w:pPr>
        <w:ind w:firstLine="412" w:firstLineChars="196"/>
        <w:rPr>
          <w:rFonts w:ascii="宋体" w:eastAsia="宋体" w:hAnsi="宋体" w:cs="宋体"/>
          <w:kern w:val="0"/>
          <w:szCs w:val="21"/>
        </w:rPr>
      </w:pPr>
      <w:r>
        <w:rPr>
          <w:rFonts w:ascii="宋体" w:eastAsia="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2" w:firstLineChars="196"/>
        <w:rPr>
          <w:rFonts w:ascii="宋体" w:eastAsia="宋体" w:hAnsi="宋体" w:cs="宋体"/>
          <w:kern w:val="0"/>
          <w:szCs w:val="21"/>
        </w:rPr>
      </w:pPr>
      <w:r>
        <w:rPr>
          <w:rFonts w:ascii="宋体" w:eastAsia="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pPr>
        <w:ind w:firstLine="412" w:firstLineChars="196"/>
        <w:rPr>
          <w:rFonts w:ascii="宋体" w:eastAsia="宋体" w:hAnsi="宋体" w:cs="Times New Roman"/>
          <w:b/>
          <w:bCs/>
          <w:szCs w:val="21"/>
        </w:rPr>
      </w:pPr>
      <w:r>
        <w:rPr>
          <w:rFonts w:ascii="宋体" w:eastAsia="宋体" w:hAnsi="宋体" w:cs="Times New Roman" w:hint="eastAsia"/>
          <w:b/>
          <w:bCs/>
          <w:szCs w:val="21"/>
        </w:rPr>
        <w:t xml:space="preserve"> 37.4重新组建评审委员会的情形</w:t>
      </w:r>
    </w:p>
    <w:p>
      <w:pPr>
        <w:ind w:firstLine="412" w:firstLineChars="196"/>
        <w:rPr>
          <w:rFonts w:ascii="宋体" w:eastAsia="宋体" w:hAnsi="宋体" w:cs="宋体"/>
          <w:kern w:val="0"/>
          <w:szCs w:val="21"/>
        </w:rPr>
      </w:pPr>
      <w:r>
        <w:rPr>
          <w:rFonts w:ascii="宋体" w:eastAsia="宋体" w:hAnsi="宋体" w:cs="宋体" w:hint="eastAsia"/>
          <w:kern w:val="0"/>
          <w:szCs w:val="21"/>
        </w:rPr>
        <w:t>评审委员会或者其成员存在下列情形导致评审结果无效的，重新组建评审委员会进行评标，并书面报告本级财政部门：</w:t>
      </w:r>
    </w:p>
    <w:p>
      <w:pPr>
        <w:ind w:firstLine="412" w:firstLineChars="196"/>
        <w:rPr>
          <w:rFonts w:ascii="宋体" w:eastAsia="宋体" w:hAnsi="宋体" w:cs="宋体"/>
          <w:kern w:val="0"/>
          <w:szCs w:val="21"/>
        </w:rPr>
      </w:pPr>
      <w:r>
        <w:rPr>
          <w:rFonts w:ascii="宋体" w:eastAsia="宋体" w:hAnsi="宋体" w:cs="宋体" w:hint="eastAsia"/>
          <w:kern w:val="0"/>
          <w:szCs w:val="21"/>
        </w:rPr>
        <w:t>37.4.1评审委员会组成不符合《政府采购货物和服务招标投标管理办法》规定的；</w:t>
      </w:r>
    </w:p>
    <w:p>
      <w:pPr>
        <w:ind w:firstLine="412" w:firstLineChars="196"/>
        <w:rPr>
          <w:rFonts w:ascii="宋体" w:eastAsia="宋体" w:hAnsi="宋体" w:cs="宋体"/>
          <w:kern w:val="0"/>
          <w:szCs w:val="21"/>
        </w:rPr>
      </w:pPr>
      <w:r>
        <w:rPr>
          <w:rFonts w:ascii="宋体" w:eastAsia="宋体" w:hAnsi="宋体" w:cs="宋体" w:hint="eastAsia"/>
          <w:kern w:val="0"/>
          <w:szCs w:val="21"/>
        </w:rPr>
        <w:t>37.4.2有《政府采购货物和服务招标投标管理办法》第六十二条第一至五项情形的；</w:t>
      </w:r>
    </w:p>
    <w:p>
      <w:pPr>
        <w:ind w:firstLine="412" w:firstLineChars="196"/>
        <w:rPr>
          <w:rFonts w:ascii="宋体" w:eastAsia="宋体" w:hAnsi="宋体" w:cs="宋体"/>
          <w:kern w:val="0"/>
          <w:szCs w:val="21"/>
        </w:rPr>
      </w:pPr>
      <w:r>
        <w:rPr>
          <w:rFonts w:ascii="宋体" w:eastAsia="宋体" w:hAnsi="宋体" w:cs="宋体" w:hint="eastAsia"/>
          <w:kern w:val="0"/>
          <w:szCs w:val="21"/>
        </w:rPr>
        <w:t>37.4.3评审委员会及其成员独立评标受到非法干预的；</w:t>
      </w:r>
    </w:p>
    <w:p>
      <w:pPr>
        <w:ind w:firstLine="412" w:firstLineChars="196"/>
        <w:rPr>
          <w:rFonts w:ascii="宋体" w:eastAsia="宋体" w:hAnsi="宋体" w:cs="宋体"/>
          <w:kern w:val="0"/>
          <w:szCs w:val="21"/>
        </w:rPr>
      </w:pPr>
      <w:r>
        <w:rPr>
          <w:rFonts w:ascii="宋体" w:eastAsia="宋体" w:hAnsi="宋体" w:cs="宋体" w:hint="eastAsia"/>
          <w:kern w:val="0"/>
          <w:szCs w:val="21"/>
        </w:rPr>
        <w:t>37.4.4有政府采购法实施条例第七十五条规定的违法行为的。</w:t>
      </w:r>
    </w:p>
    <w:p>
      <w:pPr>
        <w:ind w:firstLine="412" w:firstLineChars="196"/>
        <w:rPr>
          <w:rFonts w:ascii="宋体" w:eastAsia="宋体" w:hAnsi="宋体" w:cs="宋体"/>
          <w:kern w:val="0"/>
          <w:szCs w:val="21"/>
        </w:rPr>
      </w:pPr>
      <w:r>
        <w:rPr>
          <w:rFonts w:ascii="宋体" w:eastAsia="宋体" w:hAnsi="宋体" w:cs="宋体" w:hint="eastAsia"/>
          <w:kern w:val="0"/>
          <w:szCs w:val="21"/>
        </w:rPr>
        <w:t>有违法违规行为的原评审委员会成员不得参加重新组建的评审委员会。</w:t>
      </w:r>
    </w:p>
    <w:p>
      <w:pPr>
        <w:keepNext/>
        <w:keepLines/>
        <w:numPr>
          <w:ilvl w:val="0"/>
          <w:numId w:val="8"/>
        </w:numPr>
        <w:adjustRightInd w:val="0"/>
        <w:spacing w:before="156" w:beforeLines="50" w:after="156" w:afterLines="50"/>
        <w:ind w:left="562" w:hanging="562"/>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定标及公示</w:t>
      </w:r>
    </w:p>
    <w:p>
      <w:pPr>
        <w:rPr>
          <w:rFonts w:ascii="黑体" w:eastAsia="黑体" w:hAnsi="宋体" w:cs="Times New Roman"/>
          <w:sz w:val="24"/>
          <w:szCs w:val="24"/>
        </w:rPr>
      </w:pPr>
      <w:r>
        <w:rPr>
          <w:rFonts w:ascii="黑体" w:eastAsia="黑体" w:hAnsi="宋体" w:cs="Times New Roman" w:hint="eastAsia"/>
          <w:sz w:val="24"/>
          <w:szCs w:val="24"/>
        </w:rPr>
        <w:t>38．定标方法</w:t>
      </w:r>
    </w:p>
    <w:p>
      <w:pPr>
        <w:ind w:firstLine="412" w:firstLineChars="196"/>
        <w:rPr>
          <w:rFonts w:ascii="宋体" w:eastAsia="宋体" w:hAnsi="宋体" w:cs="Times New Roman"/>
          <w:szCs w:val="21"/>
        </w:rPr>
      </w:pPr>
      <w:bookmarkStart w:id="42" w:name="_Hlk73782795"/>
      <w:r>
        <w:rPr>
          <w:rFonts w:ascii="宋体" w:eastAsia="宋体" w:hAnsi="宋体" w:cs="Times New Roman" w:hint="eastAsia"/>
          <w:szCs w:val="21"/>
        </w:rPr>
        <w:t>38.1非评定分离项目定标方法</w:t>
      </w:r>
    </w:p>
    <w:p>
      <w:pPr>
        <w:ind w:firstLine="412" w:firstLineChars="196"/>
        <w:rPr>
          <w:rFonts w:ascii="宋体" w:eastAsia="宋体" w:hAnsi="宋体" w:cs="Times New Roman"/>
          <w:szCs w:val="21"/>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2" w:firstLineChars="196"/>
        <w:rPr>
          <w:rFonts w:ascii="ˎ̥" w:eastAsia="宋体" w:hAnsi="ˎ̥" w:cs="Times New Roman"/>
          <w:szCs w:val="24"/>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1.2</w:t>
      </w:r>
      <w:r>
        <w:rPr>
          <w:rFonts w:ascii="ˎ̥" w:eastAsia="宋体" w:hAnsi="ˎ̥" w:cs="Times New Roman"/>
          <w:szCs w:val="24"/>
        </w:rPr>
        <w:t>采用最低价法的，评</w:t>
      </w:r>
      <w:r>
        <w:rPr>
          <w:rFonts w:ascii="ˎ̥" w:eastAsia="宋体" w:hAnsi="ˎ̥" w:cs="Times New Roman" w:hint="eastAsia"/>
          <w:szCs w:val="24"/>
        </w:rPr>
        <w:t>审</w:t>
      </w:r>
      <w:r>
        <w:rPr>
          <w:rFonts w:ascii="ˎ̥" w:eastAsia="宋体" w:hAnsi="ˎ̥" w:cs="Times New Roman"/>
          <w:szCs w:val="24"/>
        </w:rPr>
        <w:t>结果按投标报价由低到高顺序排列。投标报价相同的并列。投标文件满足招标文件全部实质性要求且投标报价最低的</w:t>
      </w:r>
      <w:r>
        <w:rPr>
          <w:rFonts w:ascii="ˎ̥" w:eastAsia="宋体" w:hAnsi="ˎ̥" w:cs="Times New Roman" w:hint="eastAsia"/>
          <w:szCs w:val="24"/>
        </w:rPr>
        <w:t>投标人为</w:t>
      </w:r>
      <w:bookmarkStart w:id="43" w:name="_Hlk73821177"/>
      <w:r>
        <w:rPr>
          <w:rFonts w:ascii="ˎ̥" w:eastAsia="宋体" w:hAnsi="ˎ̥" w:cs="Times New Roman" w:hint="eastAsia"/>
          <w:szCs w:val="24"/>
        </w:rPr>
        <w:t>中标供应商</w:t>
      </w:r>
      <w:r>
        <w:rPr>
          <w:rFonts w:ascii="ˎ̥" w:eastAsia="宋体" w:hAnsi="ˎ̥" w:cs="Times New Roman"/>
          <w:szCs w:val="24"/>
        </w:rPr>
        <w:t>（</w:t>
      </w:r>
      <w:r>
        <w:rPr>
          <w:rFonts w:ascii="ˎ̥" w:eastAsia="宋体" w:hAnsi="ˎ̥" w:cs="Times New Roman" w:hint="eastAsia"/>
          <w:szCs w:val="24"/>
        </w:rPr>
        <w:t>排名</w:t>
      </w:r>
      <w:r>
        <w:rPr>
          <w:rFonts w:ascii="ˎ̥" w:eastAsia="宋体" w:hAnsi="ˎ̥" w:cs="Times New Roman"/>
          <w:szCs w:val="24"/>
        </w:rPr>
        <w:t>第二</w:t>
      </w:r>
      <w:r>
        <w:rPr>
          <w:rFonts w:ascii="ˎ̥" w:eastAsia="宋体" w:hAnsi="ˎ̥" w:cs="Times New Roman" w:hint="eastAsia"/>
          <w:szCs w:val="24"/>
        </w:rPr>
        <w:t>的投标人为第一替补中标候选人、排名</w:t>
      </w:r>
      <w:r>
        <w:rPr>
          <w:rFonts w:ascii="ˎ̥" w:eastAsia="宋体" w:hAnsi="ˎ̥" w:cs="Times New Roman"/>
          <w:szCs w:val="24"/>
        </w:rPr>
        <w:t>第</w:t>
      </w:r>
      <w:r>
        <w:rPr>
          <w:rFonts w:ascii="ˎ̥" w:eastAsia="宋体" w:hAnsi="ˎ̥" w:cs="Times New Roman" w:hint="eastAsia"/>
          <w:szCs w:val="24"/>
        </w:rPr>
        <w:t>三的投标人为第二替补中标候选人</w:t>
      </w:r>
      <w:bookmarkEnd w:id="43"/>
      <w:r>
        <w:rPr>
          <w:rFonts w:ascii="ˎ̥" w:eastAsia="宋体" w:hAnsi="ˎ̥" w:cs="Times New Roman"/>
          <w:szCs w:val="24"/>
        </w:rPr>
        <w:t>）。</w:t>
      </w:r>
    </w:p>
    <w:p>
      <w:pPr>
        <w:ind w:firstLine="412" w:firstLineChars="196"/>
        <w:rPr>
          <w:rFonts w:ascii="ˎ̥" w:eastAsia="宋体" w:hAnsi="ˎ̥" w:cs="Times New Roman"/>
          <w:szCs w:val="24"/>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1.3</w:t>
      </w:r>
      <w:r>
        <w:rPr>
          <w:rFonts w:ascii="宋体" w:eastAsia="宋体" w:hAnsi="宋体" w:cs="Times New Roman"/>
          <w:szCs w:val="21"/>
        </w:rPr>
        <w:t>采</w:t>
      </w:r>
      <w:r>
        <w:rPr>
          <w:rFonts w:ascii="ˎ̥" w:eastAsia="宋体" w:hAnsi="ˎ̥" w:cs="Times New Roman"/>
          <w:szCs w:val="24"/>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ˎ̥" w:eastAsia="宋体" w:hAnsi="ˎ̥" w:cs="Times New Roman" w:hint="eastAsia"/>
          <w:szCs w:val="24"/>
        </w:rPr>
        <w:t>为中标供应商</w:t>
      </w:r>
      <w:r>
        <w:rPr>
          <w:rFonts w:ascii="ˎ̥" w:eastAsia="宋体" w:hAnsi="ˎ̥" w:cs="Times New Roman"/>
          <w:szCs w:val="24"/>
        </w:rPr>
        <w:t>（</w:t>
      </w:r>
      <w:r>
        <w:rPr>
          <w:rFonts w:ascii="ˎ̥" w:eastAsia="宋体" w:hAnsi="ˎ̥" w:cs="Times New Roman" w:hint="eastAsia"/>
          <w:szCs w:val="24"/>
        </w:rPr>
        <w:t>排名</w:t>
      </w:r>
      <w:r>
        <w:rPr>
          <w:rFonts w:ascii="ˎ̥" w:eastAsia="宋体" w:hAnsi="ˎ̥" w:cs="Times New Roman"/>
          <w:szCs w:val="24"/>
        </w:rPr>
        <w:t>第二</w:t>
      </w:r>
      <w:r>
        <w:rPr>
          <w:rFonts w:ascii="ˎ̥" w:eastAsia="宋体" w:hAnsi="ˎ̥" w:cs="Times New Roman" w:hint="eastAsia"/>
          <w:szCs w:val="24"/>
        </w:rPr>
        <w:t>的投标人为第一替补中标候选人、排名</w:t>
      </w:r>
      <w:r>
        <w:rPr>
          <w:rFonts w:ascii="ˎ̥" w:eastAsia="宋体" w:hAnsi="ˎ̥" w:cs="Times New Roman"/>
          <w:szCs w:val="24"/>
        </w:rPr>
        <w:t>第</w:t>
      </w:r>
      <w:r>
        <w:rPr>
          <w:rFonts w:ascii="ˎ̥" w:eastAsia="宋体" w:hAnsi="ˎ̥" w:cs="Times New Roman" w:hint="eastAsia"/>
          <w:szCs w:val="24"/>
        </w:rPr>
        <w:t>三的投标人为第二替补中标候选人</w:t>
      </w:r>
      <w:r>
        <w:rPr>
          <w:rFonts w:ascii="ˎ̥" w:eastAsia="宋体" w:hAnsi="ˎ̥" w:cs="Times New Roman"/>
          <w:szCs w:val="24"/>
        </w:rPr>
        <w:t>）。</w:t>
      </w:r>
      <w:r>
        <w:rPr>
          <w:rFonts w:ascii="ˎ̥" w:eastAsia="宋体" w:hAnsi="ˎ̥" w:cs="Times New Roman" w:hint="eastAsia"/>
          <w:szCs w:val="24"/>
        </w:rPr>
        <w:t>出现</w:t>
      </w:r>
      <w:r>
        <w:rPr>
          <w:rFonts w:ascii="ˎ̥" w:eastAsia="宋体" w:hAnsi="ˎ̥" w:cs="Times New Roman"/>
          <w:szCs w:val="24"/>
        </w:rPr>
        <w:t>得分且投标报价相同的并列</w:t>
      </w:r>
      <w:r>
        <w:rPr>
          <w:rFonts w:ascii="ˎ̥" w:eastAsia="宋体" w:hAnsi="ˎ̥" w:cs="Times New Roman" w:hint="eastAsia"/>
          <w:szCs w:val="24"/>
        </w:rPr>
        <w:t>情况时，采取随机抽取的方式确定，具体操作办法及流程由评审委员会确定。</w:t>
      </w:r>
    </w:p>
    <w:p>
      <w:pPr>
        <w:ind w:firstLine="412" w:firstLineChars="196"/>
        <w:rPr>
          <w:rFonts w:ascii="宋体" w:eastAsia="宋体" w:hAnsi="宋体" w:cs="Times New Roman"/>
          <w:szCs w:val="21"/>
        </w:rPr>
      </w:pPr>
      <w:r>
        <w:rPr>
          <w:rFonts w:ascii="宋体" w:eastAsia="宋体" w:hAnsi="宋体" w:cs="Times New Roman" w:hint="eastAsia"/>
          <w:szCs w:val="21"/>
        </w:rPr>
        <w:t>38.2评定分离项目定标方法</w:t>
      </w:r>
    </w:p>
    <w:p>
      <w:pPr>
        <w:ind w:firstLine="412" w:firstLineChars="196"/>
        <w:rPr>
          <w:rFonts w:ascii="宋体" w:eastAsia="宋体" w:hAnsi="宋体" w:cs="Times New Roman"/>
          <w:szCs w:val="21"/>
        </w:rPr>
      </w:pPr>
      <w:r>
        <w:rPr>
          <w:rFonts w:ascii="宋体" w:eastAsia="宋体" w:hAnsi="宋体" w:cs="Times New Roman"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2" w:firstLineChars="196"/>
        <w:rPr>
          <w:rFonts w:ascii="宋体" w:eastAsia="宋体" w:hAnsi="宋体" w:cs="Times New Roman"/>
          <w:szCs w:val="21"/>
        </w:rPr>
      </w:pPr>
      <w:r>
        <w:rPr>
          <w:rFonts w:ascii="宋体" w:eastAsia="宋体" w:hAnsi="宋体" w:cs="Times New Roman"/>
          <w:szCs w:val="21"/>
        </w:rPr>
        <w:t xml:space="preserve">38.2.2 </w:t>
      </w:r>
      <w:bookmarkStart w:id="44" w:name="_Hlk71469733"/>
      <w:r>
        <w:rPr>
          <w:rFonts w:ascii="Times New Roman" w:eastAsia="宋体" w:hAnsi="Times New Roman" w:cs="Times New Roman"/>
          <w:szCs w:val="24"/>
        </w:rPr>
        <w:t>适用评定分离的政府采购项目，采用综合评分法评</w:t>
      </w:r>
      <w:r>
        <w:rPr>
          <w:rFonts w:ascii="Times New Roman" w:eastAsia="宋体" w:hAnsi="Times New Roman" w:cs="Times New Roman" w:hint="eastAsia"/>
          <w:szCs w:val="24"/>
        </w:rPr>
        <w:t>审。</w:t>
      </w:r>
      <w:r>
        <w:rPr>
          <w:rFonts w:ascii="宋体" w:eastAsia="宋体" w:hAnsi="宋体" w:cs="Times New Roman" w:hint="eastAsia"/>
          <w:szCs w:val="21"/>
        </w:rPr>
        <w:t>评审委员会按照评审结果，推荐</w:t>
      </w:r>
      <w:r>
        <w:rPr>
          <w:rFonts w:ascii="Times New Roman" w:eastAsia="宋体" w:hAnsi="Times New Roman" w:cs="Times New Roman"/>
          <w:szCs w:val="24"/>
        </w:rPr>
        <w:t>三个合格的候选中标供应商。</w:t>
      </w:r>
    </w:p>
    <w:p>
      <w:pPr>
        <w:ind w:firstLine="412" w:firstLineChars="196"/>
        <w:rPr>
          <w:rFonts w:ascii="宋体" w:eastAsia="宋体" w:hAnsi="宋体" w:cs="Times New Roman"/>
          <w:szCs w:val="21"/>
        </w:rPr>
      </w:pPr>
      <w:r>
        <w:rPr>
          <w:rFonts w:ascii="宋体" w:eastAsia="宋体" w:hAnsi="宋体" w:cs="Times New Roman" w:hint="eastAsia"/>
          <w:szCs w:val="21"/>
        </w:rPr>
        <w:t>38.2.3</w:t>
      </w:r>
      <w:bookmarkStart w:id="45" w:name="_Hlk71469688"/>
      <w:r>
        <w:rPr>
          <w:rFonts w:ascii="Times New Roman" w:eastAsia="宋体" w:hAnsi="Times New Roman" w:cs="Times New Roman"/>
          <w:szCs w:val="24"/>
        </w:rPr>
        <w:t>适用评定分离的政府采购项目，</w:t>
      </w:r>
      <w:r>
        <w:rPr>
          <w:rFonts w:ascii="宋体" w:eastAsia="宋体" w:hAnsi="宋体" w:cs="Times New Roman" w:hint="eastAsia"/>
          <w:szCs w:val="21"/>
        </w:rPr>
        <w:t>按照自定法确定中标供应商：自定法是指采购人组织定标委员会，由定标委员会在三家候选中标供应商中确定中标供应商。</w:t>
      </w:r>
      <w:bookmarkEnd w:id="44"/>
      <w:bookmarkEnd w:id="45"/>
    </w:p>
    <w:p>
      <w:pPr>
        <w:ind w:firstLine="412" w:firstLineChars="196"/>
        <w:rPr>
          <w:rFonts w:ascii="宋体" w:eastAsia="宋体" w:hAnsi="宋体" w:cs="Times New Roman"/>
          <w:szCs w:val="21"/>
        </w:rPr>
      </w:pPr>
      <w:r>
        <w:rPr>
          <w:rFonts w:ascii="宋体" w:eastAsia="宋体" w:hAnsi="宋体" w:cs="Times New Roman"/>
          <w:szCs w:val="21"/>
        </w:rPr>
        <w:t>38.2.4</w:t>
      </w:r>
      <w:r>
        <w:rPr>
          <w:rFonts w:ascii="宋体" w:eastAsia="宋体" w:hAnsi="宋体" w:cs="Times New Roman" w:hint="eastAsia"/>
          <w:szCs w:val="21"/>
        </w:rPr>
        <w:t>政府集中采购机构</w:t>
      </w:r>
      <w:r>
        <w:rPr>
          <w:rFonts w:ascii="Times New Roman" w:eastAsia="宋体" w:hAnsi="Times New Roman" w:cs="Times New Roman"/>
          <w:szCs w:val="24"/>
        </w:rPr>
        <w:t>应当自评审结束之日起两个工作日内将候选中标供应商名单及其投标文件、评审报告送交采购人</w:t>
      </w:r>
      <w:r>
        <w:rPr>
          <w:rFonts w:ascii="宋体" w:eastAsia="宋体" w:hAnsi="宋体" w:cs="Times New Roman" w:hint="eastAsia"/>
          <w:szCs w:val="21"/>
        </w:rPr>
        <w:t>。</w:t>
      </w:r>
      <w:r>
        <w:rPr>
          <w:rFonts w:ascii="Times New Roman" w:eastAsia="宋体" w:hAnsi="Times New Roman" w:cs="Times New Roman"/>
          <w:szCs w:val="24"/>
        </w:rPr>
        <w:t>采购人应当安排专人对定标过程进行书面记录，形成定标报告，作为采购文件的组成部分存档，并及时将定标结果反馈</w:t>
      </w:r>
      <w:r>
        <w:rPr>
          <w:rFonts w:ascii="Times New Roman" w:eastAsia="宋体" w:hAnsi="Times New Roman" w:cs="Times New Roman" w:hint="eastAsia"/>
          <w:szCs w:val="24"/>
        </w:rPr>
        <w:t>政府集中采购机构。具体定标程序及相关要求以按照《</w:t>
      </w:r>
      <w:r>
        <w:rPr>
          <w:rFonts w:ascii="Times New Roman" w:eastAsia="宋体" w:hAnsi="Times New Roman" w:cs="Times New Roman"/>
          <w:szCs w:val="24"/>
        </w:rPr>
        <w:t>深圳市财政局关于印发</w:t>
      </w:r>
      <w:r>
        <w:rPr>
          <w:rFonts w:ascii="宋体" w:eastAsia="宋体" w:hAnsi="宋体" w:cs="Times New Roman" w:hint="eastAsia"/>
          <w:szCs w:val="24"/>
        </w:rPr>
        <w:t>〈</w:t>
      </w:r>
      <w:r>
        <w:rPr>
          <w:rFonts w:ascii="Times New Roman" w:eastAsia="宋体" w:hAnsi="Times New Roman" w:cs="Times New Roman"/>
          <w:szCs w:val="24"/>
        </w:rPr>
        <w:t>深圳市政府采购评标定标分离管理办法</w:t>
      </w:r>
      <w:r>
        <w:rPr>
          <w:rFonts w:ascii="宋体" w:eastAsia="宋体" w:hAnsi="宋体" w:cs="Times New Roman" w:hint="eastAsia"/>
          <w:szCs w:val="24"/>
        </w:rPr>
        <w:t>〉</w:t>
      </w:r>
      <w:r>
        <w:rPr>
          <w:rFonts w:ascii="Times New Roman" w:eastAsia="宋体" w:hAnsi="Times New Roman" w:cs="Times New Roman"/>
          <w:szCs w:val="24"/>
        </w:rPr>
        <w:t>的通知</w:t>
      </w:r>
      <w:r>
        <w:rPr>
          <w:rFonts w:ascii="Times New Roman" w:eastAsia="宋体" w:hAnsi="Times New Roman" w:cs="Times New Roman" w:hint="eastAsia"/>
          <w:szCs w:val="24"/>
        </w:rPr>
        <w:t>》（深财规【2</w:t>
      </w:r>
      <w:r>
        <w:rPr>
          <w:rFonts w:ascii="Times New Roman" w:eastAsia="宋体" w:hAnsi="Times New Roman" w:cs="Times New Roman"/>
          <w:szCs w:val="24"/>
        </w:rPr>
        <w:t>020</w:t>
      </w:r>
      <w:r>
        <w:rPr>
          <w:rFonts w:ascii="Times New Roman" w:eastAsia="宋体" w:hAnsi="Times New Roman" w:cs="Times New Roman" w:hint="eastAsia"/>
          <w:szCs w:val="24"/>
        </w:rPr>
        <w:t>】1号）执行。</w:t>
      </w:r>
    </w:p>
    <w:p>
      <w:pPr>
        <w:ind w:firstLine="412" w:firstLineChars="196"/>
        <w:rPr>
          <w:rFonts w:ascii="宋体" w:eastAsia="宋体" w:hAnsi="宋体" w:cs="Times New Roman"/>
          <w:szCs w:val="21"/>
        </w:rPr>
      </w:pPr>
      <w:r>
        <w:rPr>
          <w:rFonts w:ascii="宋体" w:eastAsia="宋体" w:hAnsi="宋体" w:cs="Times New Roman" w:hint="eastAsia"/>
          <w:szCs w:val="21"/>
        </w:rPr>
        <w:t>说明：采购人及投标供应商应按照上述方法提前做好相关准备。</w:t>
      </w:r>
    </w:p>
    <w:p>
      <w:pPr>
        <w:ind w:firstLine="412" w:firstLineChars="196"/>
        <w:rPr>
          <w:rFonts w:ascii="宋体" w:eastAsia="宋体" w:hAnsi="宋体" w:cs="Times New Roman"/>
          <w:szCs w:val="21"/>
        </w:rPr>
      </w:pPr>
      <w:r>
        <w:rPr>
          <w:rFonts w:ascii="宋体" w:eastAsia="宋体" w:hAnsi="宋体" w:cs="Times New Roman" w:hint="eastAsia"/>
          <w:szCs w:val="21"/>
        </w:rPr>
        <w:t>38.3专用条款另有规定的，按专用条款相关要求定标。</w:t>
      </w:r>
      <w:bookmarkEnd w:id="42"/>
    </w:p>
    <w:p>
      <w:pPr>
        <w:rPr>
          <w:rFonts w:ascii="黑体" w:eastAsia="黑体" w:hAnsi="宋体" w:cs="Times New Roman"/>
          <w:sz w:val="24"/>
          <w:szCs w:val="24"/>
        </w:rPr>
      </w:pPr>
      <w:r>
        <w:rPr>
          <w:rFonts w:ascii="黑体" w:eastAsia="黑体" w:hAnsi="宋体" w:cs="Times New Roman" w:hint="eastAsia"/>
          <w:sz w:val="24"/>
          <w:szCs w:val="24"/>
        </w:rPr>
        <w:t>39．编写评审报告</w:t>
      </w:r>
    </w:p>
    <w:p>
      <w:pPr>
        <w:ind w:firstLine="412" w:firstLineChars="196"/>
        <w:rPr>
          <w:rFonts w:ascii="宋体" w:eastAsia="宋体" w:hAnsi="宋体" w:cs="Times New Roman"/>
          <w:szCs w:val="21"/>
        </w:rPr>
      </w:pPr>
      <w:r>
        <w:rPr>
          <w:rFonts w:ascii="宋体" w:eastAsia="宋体" w:hAnsi="宋体" w:cs="Times New Roman"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eastAsia="黑体" w:hAnsi="宋体" w:cs="Times New Roman"/>
          <w:sz w:val="24"/>
          <w:szCs w:val="24"/>
        </w:rPr>
      </w:pPr>
      <w:r>
        <w:rPr>
          <w:rFonts w:ascii="黑体" w:eastAsia="黑体" w:hAnsi="宋体" w:cs="Times New Roman" w:hint="eastAsia"/>
          <w:sz w:val="24"/>
          <w:szCs w:val="24"/>
        </w:rPr>
        <w:t>40．中标公告</w:t>
      </w:r>
    </w:p>
    <w:p>
      <w:pPr>
        <w:ind w:firstLine="412" w:firstLineChars="196"/>
        <w:rPr>
          <w:rFonts w:ascii="宋体" w:eastAsia="宋体" w:hAnsi="宋体" w:cs="Times New Roman"/>
          <w:szCs w:val="21"/>
        </w:rPr>
      </w:pPr>
      <w:r>
        <w:rPr>
          <w:rFonts w:ascii="宋体" w:eastAsia="宋体" w:hAnsi="宋体" w:cs="Times New Roman" w:hint="eastAsia"/>
          <w:szCs w:val="21"/>
        </w:rPr>
        <w:t>40.1</w:t>
      </w:r>
      <w:bookmarkStart w:id="46" w:name="_Hlk72438709"/>
      <w:r>
        <w:rPr>
          <w:rFonts w:ascii="宋体" w:eastAsia="宋体" w:hAnsi="宋体" w:cs="Times New Roman" w:hint="eastAsia"/>
          <w:szCs w:val="21"/>
        </w:rPr>
        <w:t>为体现“公开、公平、公正”的原则，评审结束后经采购人确认（确定）评审结果，政府集中采购机构将在</w:t>
      </w:r>
      <w:r>
        <w:rPr>
          <w:rFonts w:ascii="宋体" w:eastAsia="宋体" w:hAnsi="宋体" w:cs="Times New Roman" w:hint="eastAsia"/>
          <w:b/>
          <w:bCs/>
          <w:szCs w:val="21"/>
        </w:rPr>
        <w:t>“深圳政府采购智慧平台（http://zfcg.szggzy.com/）”</w:t>
      </w:r>
      <w:r>
        <w:rPr>
          <w:rFonts w:ascii="宋体" w:eastAsia="宋体" w:hAnsi="宋体" w:cs="Times New Roman" w:hint="eastAsia"/>
          <w:szCs w:val="21"/>
        </w:rPr>
        <w:t>上发布中标结果公告。</w:t>
      </w:r>
      <w:bookmarkEnd w:id="46"/>
      <w:bookmarkStart w:id="47" w:name="_Hlk72438751"/>
      <w:r>
        <w:rPr>
          <w:rFonts w:ascii="宋体" w:eastAsia="宋体" w:hAnsi="宋体" w:cs="Times New Roman" w:hint="eastAsia"/>
          <w:szCs w:val="21"/>
        </w:rPr>
        <w:t>供应商如对评审结果有异议，</w:t>
      </w:r>
      <w:r>
        <w:rPr>
          <w:rFonts w:ascii="宋体" w:eastAsia="宋体" w:hAnsi="宋体" w:cs="Times New Roman"/>
          <w:szCs w:val="21"/>
        </w:rPr>
        <w:t>可在发布公示日期起</w:t>
      </w:r>
      <w:r>
        <w:rPr>
          <w:rFonts w:ascii="宋体" w:eastAsia="宋体" w:hAnsi="宋体" w:cs="Times New Roman" w:hint="eastAsia"/>
          <w:szCs w:val="21"/>
        </w:rPr>
        <w:t>七</w:t>
      </w:r>
      <w:r>
        <w:rPr>
          <w:rFonts w:ascii="宋体" w:eastAsia="宋体" w:hAnsi="宋体" w:cs="Times New Roman"/>
          <w:szCs w:val="21"/>
        </w:rPr>
        <w:t>个工作日内向</w:t>
      </w:r>
      <w:r>
        <w:rPr>
          <w:rFonts w:ascii="宋体" w:eastAsia="宋体" w:hAnsi="宋体" w:cs="Times New Roman" w:hint="eastAsia"/>
          <w:szCs w:val="21"/>
        </w:rPr>
        <w:t>政府集中采购机构</w:t>
      </w:r>
      <w:r>
        <w:rPr>
          <w:rFonts w:ascii="宋体" w:eastAsia="宋体" w:hAnsi="宋体" w:cs="Times New Roman"/>
          <w:szCs w:val="21"/>
        </w:rPr>
        <w:t>提出。</w:t>
      </w:r>
      <w:r>
        <w:rPr>
          <w:rFonts w:ascii="宋体" w:eastAsia="宋体" w:hAnsi="宋体" w:cs="Times New Roman" w:hint="eastAsia"/>
          <w:szCs w:val="21"/>
        </w:rPr>
        <w:t>若在公示期内未提出质疑，则视为认同该评审结果。</w:t>
      </w:r>
      <w:bookmarkEnd w:id="47"/>
    </w:p>
    <w:p>
      <w:pPr>
        <w:ind w:firstLine="412" w:firstLineChars="196"/>
        <w:rPr>
          <w:rFonts w:ascii="宋体" w:eastAsia="宋体" w:hAnsi="宋体" w:cs="Times New Roman"/>
          <w:szCs w:val="21"/>
        </w:rPr>
      </w:pPr>
      <w:r>
        <w:rPr>
          <w:rFonts w:ascii="宋体" w:eastAsia="宋体" w:hAnsi="宋体" w:cs="Times New Roman" w:hint="eastAsia"/>
          <w:szCs w:val="21"/>
        </w:rPr>
        <w:t>40.2质疑、投诉供应商应保证质疑、投诉内容的真实性和可靠性，并承担相应的法律责任。</w:t>
      </w:r>
    </w:p>
    <w:p>
      <w:pPr>
        <w:rPr>
          <w:rFonts w:ascii="黑体" w:eastAsia="黑体" w:hAnsi="宋体" w:cs="Times New Roman"/>
          <w:sz w:val="24"/>
          <w:szCs w:val="24"/>
        </w:rPr>
      </w:pPr>
      <w:r>
        <w:rPr>
          <w:rFonts w:ascii="黑体" w:eastAsia="黑体" w:hAnsi="宋体" w:cs="Times New Roman" w:hint="eastAsia"/>
          <w:sz w:val="24"/>
          <w:szCs w:val="24"/>
        </w:rPr>
        <w:t>41．中标通知书</w:t>
      </w:r>
    </w:p>
    <w:p>
      <w:pPr>
        <w:ind w:firstLine="412" w:firstLineChars="196"/>
        <w:rPr>
          <w:rFonts w:ascii="宋体" w:eastAsia="宋体" w:hAnsi="宋体" w:cs="Times New Roman"/>
          <w:szCs w:val="21"/>
        </w:rPr>
      </w:pPr>
      <w:r>
        <w:rPr>
          <w:rFonts w:ascii="宋体" w:eastAsia="宋体" w:hAnsi="宋体" w:cs="Times New Roman" w:hint="eastAsia"/>
          <w:szCs w:val="21"/>
        </w:rPr>
        <w:t>41</w:t>
      </w:r>
      <w:r>
        <w:rPr>
          <w:rFonts w:ascii="宋体" w:eastAsia="宋体" w:hAnsi="宋体" w:cs="Times New Roman"/>
          <w:szCs w:val="21"/>
        </w:rPr>
        <w:t>.</w:t>
      </w:r>
      <w:r>
        <w:rPr>
          <w:rFonts w:ascii="宋体" w:eastAsia="宋体" w:hAnsi="宋体" w:cs="Times New Roman" w:hint="eastAsia"/>
          <w:szCs w:val="21"/>
        </w:rPr>
        <w:t>1</w:t>
      </w:r>
      <w:bookmarkStart w:id="48" w:name="_Hlk72438863"/>
      <w:r>
        <w:rPr>
          <w:rFonts w:ascii="宋体" w:eastAsia="宋体" w:hAnsi="宋体" w:cs="Times New Roman" w:hint="eastAsia"/>
          <w:szCs w:val="21"/>
        </w:rPr>
        <w:t>中标公告公布以后无异常的情况下,中标供应商和采购人可自行在</w:t>
      </w:r>
      <w:r>
        <w:rPr>
          <w:rFonts w:ascii="宋体" w:eastAsia="宋体" w:hAnsi="宋体" w:cs="Times New Roman" w:hint="eastAsia"/>
          <w:b/>
          <w:bCs/>
          <w:szCs w:val="21"/>
        </w:rPr>
        <w:t>“深圳政府采购智慧平台（http://zfcg.szggzy.com/）”</w:t>
      </w:r>
      <w:r>
        <w:rPr>
          <w:rFonts w:ascii="宋体" w:eastAsia="宋体" w:hAnsi="宋体" w:cs="Times New Roman" w:hint="eastAsia"/>
          <w:szCs w:val="21"/>
        </w:rPr>
        <w:t>上打印</w:t>
      </w:r>
      <w:r>
        <w:rPr>
          <w:rFonts w:ascii="宋体" w:eastAsia="宋体" w:hAnsi="宋体" w:cs="Times New Roman" w:hint="eastAsia"/>
          <w:b/>
          <w:szCs w:val="21"/>
        </w:rPr>
        <w:t>《数字中标通知书》（</w:t>
      </w:r>
      <w:r>
        <w:rPr>
          <w:rFonts w:ascii="宋体" w:eastAsia="宋体" w:hAnsi="宋体" w:cs="Times New Roman" w:hint="eastAsia"/>
          <w:szCs w:val="21"/>
        </w:rPr>
        <w:t>咨询电话：</w:t>
      </w:r>
      <w:r>
        <w:rPr>
          <w:rFonts w:ascii="宋体" w:eastAsia="宋体" w:hAnsi="宋体" w:cs="Times New Roman" w:hint="eastAsia"/>
          <w:b/>
          <w:bCs/>
          <w:szCs w:val="21"/>
        </w:rPr>
        <w:t>0755-29993888</w:t>
      </w:r>
      <w:r>
        <w:rPr>
          <w:rFonts w:ascii="宋体" w:eastAsia="宋体" w:hAnsi="宋体" w:cs="Times New Roman" w:hint="eastAsia"/>
          <w:szCs w:val="21"/>
        </w:rPr>
        <w:t>）。</w:t>
      </w:r>
      <w:bookmarkEnd w:id="48"/>
    </w:p>
    <w:p>
      <w:pPr>
        <w:ind w:firstLine="412" w:firstLineChars="196"/>
        <w:rPr>
          <w:rFonts w:ascii="宋体" w:eastAsia="宋体" w:hAnsi="宋体" w:cs="Times New Roman"/>
          <w:szCs w:val="21"/>
        </w:rPr>
      </w:pPr>
      <w:r>
        <w:rPr>
          <w:rFonts w:ascii="宋体" w:eastAsia="宋体" w:hAnsi="宋体" w:cs="Times New Roman" w:hint="eastAsia"/>
          <w:szCs w:val="21"/>
        </w:rPr>
        <w:t>41</w:t>
      </w:r>
      <w:r>
        <w:rPr>
          <w:rFonts w:ascii="宋体" w:eastAsia="宋体" w:hAnsi="宋体" w:cs="Times New Roman"/>
          <w:szCs w:val="21"/>
        </w:rPr>
        <w:t>.2</w:t>
      </w:r>
      <w:r>
        <w:rPr>
          <w:rFonts w:ascii="宋体" w:eastAsia="宋体" w:hAnsi="宋体" w:cs="Times New Roman" w:hint="eastAsia"/>
          <w:szCs w:val="21"/>
        </w:rPr>
        <w:t>中标通知书是合同的重要组成部分。</w:t>
      </w:r>
    </w:p>
    <w:p>
      <w:pPr>
        <w:ind w:firstLine="412" w:firstLineChars="196"/>
        <w:rPr>
          <w:rFonts w:ascii="宋体" w:eastAsia="宋体" w:hAnsi="宋体" w:cs="Times New Roman"/>
          <w:szCs w:val="21"/>
        </w:rPr>
      </w:pPr>
      <w:bookmarkStart w:id="49" w:name="_Hlk71407340"/>
      <w:r>
        <w:rPr>
          <w:rFonts w:ascii="宋体" w:eastAsia="宋体" w:hAnsi="宋体" w:cs="Times New Roman" w:hint="eastAsia"/>
          <w:szCs w:val="21"/>
        </w:rPr>
        <w:t>41.3因质疑投诉或其它原因导致项目结果变更或采购终止的，政府集中采购机构有权吊销中标通知书。</w:t>
      </w:r>
      <w:bookmarkEnd w:id="49"/>
    </w:p>
    <w:p>
      <w:pPr>
        <w:keepNext/>
        <w:keepLines/>
        <w:numPr>
          <w:ilvl w:val="0"/>
          <w:numId w:val="8"/>
        </w:numPr>
        <w:adjustRightInd w:val="0"/>
        <w:spacing w:before="156" w:beforeLines="50" w:after="156" w:afterLines="50"/>
        <w:ind w:left="562" w:hanging="562"/>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公开招标失败的后续处理</w:t>
      </w:r>
    </w:p>
    <w:p>
      <w:pPr>
        <w:rPr>
          <w:rFonts w:ascii="黑体" w:eastAsia="黑体" w:hAnsi="宋体" w:cs="Times New Roman"/>
          <w:sz w:val="24"/>
          <w:szCs w:val="24"/>
        </w:rPr>
      </w:pPr>
      <w:r>
        <w:rPr>
          <w:rFonts w:ascii="黑体" w:eastAsia="黑体" w:hAnsi="宋体" w:cs="Times New Roman" w:hint="eastAsia"/>
          <w:sz w:val="24"/>
          <w:szCs w:val="24"/>
        </w:rPr>
        <w:t>42．公开招标失败的处理</w:t>
      </w:r>
    </w:p>
    <w:p>
      <w:pPr>
        <w:ind w:firstLine="412" w:firstLineChars="196"/>
        <w:rPr>
          <w:rFonts w:ascii="宋体" w:eastAsia="宋体" w:hAnsi="宋体" w:cs="Times New Roman"/>
          <w:szCs w:val="24"/>
        </w:rPr>
      </w:pPr>
      <w:r>
        <w:rPr>
          <w:rFonts w:ascii="宋体" w:eastAsia="宋体" w:hAnsi="宋体" w:cs="Times New Roman" w:hint="eastAsia"/>
          <w:szCs w:val="21"/>
        </w:rPr>
        <w:t>42.1本项目公开招标过程中若由于投标截止后</w:t>
      </w:r>
      <w:r>
        <w:rPr>
          <w:rFonts w:ascii="宋体" w:eastAsia="宋体" w:hAnsi="宋体" w:cs="Times New Roman" w:hint="eastAsia"/>
          <w:szCs w:val="24"/>
        </w:rPr>
        <w:t>实际递交</w:t>
      </w:r>
      <w:r>
        <w:rPr>
          <w:rFonts w:ascii="宋体" w:eastAsia="宋体" w:hAnsi="宋体" w:cs="Times New Roman"/>
          <w:szCs w:val="24"/>
        </w:rPr>
        <w:t>投标</w:t>
      </w:r>
      <w:r>
        <w:rPr>
          <w:rFonts w:ascii="宋体" w:eastAsia="宋体" w:hAnsi="宋体" w:cs="Times New Roman" w:hint="eastAsia"/>
          <w:szCs w:val="24"/>
        </w:rPr>
        <w:t>文件的供应商数量不足、经</w:t>
      </w:r>
      <w:r>
        <w:rPr>
          <w:rFonts w:ascii="宋体" w:eastAsia="宋体" w:hAnsi="宋体" w:cs="Times New Roman" w:hint="eastAsia"/>
          <w:szCs w:val="21"/>
        </w:rPr>
        <w:t>评审委员会</w:t>
      </w:r>
      <w:r>
        <w:rPr>
          <w:rFonts w:ascii="宋体" w:eastAsia="宋体" w:hAnsi="宋体" w:cs="Times New Roman" w:hint="eastAsia"/>
          <w:szCs w:val="24"/>
        </w:rPr>
        <w:t>评审对招标文件作实质响应的供应商不足等原因造成公开招标失败，可由</w:t>
      </w:r>
      <w:r>
        <w:rPr>
          <w:rFonts w:ascii="宋体" w:eastAsia="宋体" w:hAnsi="宋体" w:cs="宋体" w:hint="eastAsia"/>
          <w:szCs w:val="24"/>
        </w:rPr>
        <w:t>政府集中采购机构</w:t>
      </w:r>
      <w:r>
        <w:rPr>
          <w:rFonts w:ascii="宋体" w:eastAsia="宋体" w:hAnsi="宋体" w:cs="Times New Roman" w:hint="eastAsia"/>
          <w:szCs w:val="24"/>
        </w:rPr>
        <w:t>重新组织采购。</w:t>
      </w:r>
    </w:p>
    <w:p>
      <w:pPr>
        <w:ind w:firstLine="412" w:firstLineChars="196"/>
        <w:rPr>
          <w:rFonts w:ascii="宋体" w:eastAsia="宋体" w:hAnsi="宋体" w:cs="Times New Roman"/>
          <w:szCs w:val="21"/>
        </w:rPr>
      </w:pPr>
      <w:r>
        <w:rPr>
          <w:rFonts w:ascii="宋体" w:eastAsia="宋体" w:hAnsi="宋体" w:cs="Times New Roman" w:hint="eastAsia"/>
          <w:szCs w:val="21"/>
        </w:rPr>
        <w:t>42.2对公开招标失败的项目，评审委员会在出具该项目招标失败结论的同时，可以提出重新采购组织形式的建议，以及进一步完善招标文件的资格、技术、商务要求的修改建议。</w:t>
      </w:r>
    </w:p>
    <w:p>
      <w:pPr>
        <w:ind w:firstLine="412" w:firstLineChars="196"/>
        <w:rPr>
          <w:rFonts w:ascii="宋体" w:eastAsia="宋体" w:hAnsi="宋体" w:cs="Times New Roman"/>
          <w:szCs w:val="21"/>
        </w:rPr>
      </w:pPr>
      <w:r>
        <w:rPr>
          <w:rFonts w:ascii="宋体" w:eastAsia="宋体" w:hAnsi="宋体" w:cs="Times New Roman" w:hint="eastAsia"/>
          <w:szCs w:val="21"/>
        </w:rPr>
        <w:t>42.3重新组织采购有以下两种组织形式：</w:t>
      </w:r>
    </w:p>
    <w:p>
      <w:pPr>
        <w:ind w:firstLine="412" w:firstLineChars="196"/>
        <w:rPr>
          <w:rFonts w:ascii="宋体" w:eastAsia="宋体" w:hAnsi="宋体" w:cs="Times New Roman"/>
          <w:szCs w:val="24"/>
        </w:rPr>
      </w:pPr>
      <w:r>
        <w:rPr>
          <w:rFonts w:ascii="宋体" w:eastAsia="宋体" w:hAnsi="宋体" w:cs="Times New Roman" w:hint="eastAsia"/>
          <w:szCs w:val="24"/>
        </w:rPr>
        <w:t>（1）由政府集中采购机构重新组织公开招标；</w:t>
      </w:r>
    </w:p>
    <w:p>
      <w:pPr>
        <w:ind w:firstLine="412" w:firstLineChars="196"/>
        <w:rPr>
          <w:rFonts w:ascii="宋体" w:eastAsia="宋体" w:hAnsi="宋体" w:cs="Times New Roman"/>
          <w:szCs w:val="24"/>
        </w:rPr>
      </w:pPr>
      <w:r>
        <w:rPr>
          <w:rFonts w:ascii="宋体" w:eastAsia="宋体" w:hAnsi="宋体" w:cs="Times New Roman" w:hint="eastAsia"/>
          <w:szCs w:val="24"/>
        </w:rPr>
        <w:t>（2）根据实际情况需要向同级财政部门提出非公开招标方式申请，经同级财政部门批准，公开招标失败采购项目可转为竞争性谈判或单一来源谈判方式采购。</w:t>
      </w:r>
    </w:p>
    <w:p>
      <w:pPr>
        <w:ind w:firstLine="412" w:firstLineChars="196"/>
        <w:rPr>
          <w:rFonts w:ascii="宋体" w:eastAsia="宋体" w:hAnsi="宋体" w:cs="Times New Roman"/>
          <w:szCs w:val="24"/>
        </w:rPr>
      </w:pPr>
      <w:r>
        <w:rPr>
          <w:rFonts w:ascii="宋体" w:eastAsia="宋体" w:hAnsi="宋体" w:cs="Times New Roman" w:hint="eastAsia"/>
          <w:szCs w:val="24"/>
        </w:rPr>
        <w:t>42.4公开招标失败的采购项目重新组织公开招标，由政府集中采购机构重新按公开招标流程组织采购活动。</w:t>
      </w:r>
    </w:p>
    <w:p>
      <w:pPr>
        <w:rPr>
          <w:rFonts w:ascii="宋体" w:eastAsia="宋体" w:hAnsi="宋体" w:cs="Times New Roman"/>
          <w:szCs w:val="24"/>
        </w:rPr>
      </w:pPr>
      <w:r>
        <w:rPr>
          <w:rFonts w:ascii="宋体" w:eastAsia="宋体" w:hAnsi="宋体" w:cs="Times New Roman" w:hint="eastAsia"/>
          <w:szCs w:val="24"/>
        </w:rPr>
        <w:t>42.5公开招标失败的采购项目经同级财政部门批准转为竞争性谈判或单一来源谈判方式采购的，按规定要求组织政府采购工作。</w:t>
      </w:r>
    </w:p>
    <w:p>
      <w:pPr>
        <w:keepNext/>
        <w:keepLines/>
        <w:numPr>
          <w:ilvl w:val="0"/>
          <w:numId w:val="8"/>
        </w:numPr>
        <w:adjustRightInd w:val="0"/>
        <w:spacing w:before="156" w:beforeLines="50" w:after="156" w:afterLines="50"/>
        <w:ind w:left="562" w:hanging="562"/>
        <w:jc w:val="center"/>
        <w:textAlignment w:val="baseline"/>
        <w:outlineLvl w:val="1"/>
        <w:rPr>
          <w:rFonts w:asciiTheme="majorHAnsi" w:eastAsiaTheme="majorEastAsia" w:hAnsiTheme="majorHAnsi" w:cstheme="majorBidi"/>
          <w:b/>
          <w:bCs/>
          <w:sz w:val="28"/>
          <w:szCs w:val="28"/>
        </w:rPr>
      </w:pPr>
      <w:bookmarkStart w:id="50" w:name="_Hlk72439043"/>
      <w:r>
        <w:rPr>
          <w:rFonts w:asciiTheme="majorHAnsi" w:eastAsiaTheme="majorEastAsia" w:hAnsiTheme="majorHAnsi" w:cstheme="majorBidi" w:hint="eastAsia"/>
          <w:b/>
          <w:bCs/>
          <w:sz w:val="28"/>
          <w:szCs w:val="28"/>
        </w:rPr>
        <w:t>合同的授予与备案</w:t>
      </w:r>
      <w:bookmarkEnd w:id="50"/>
    </w:p>
    <w:p>
      <w:pPr>
        <w:rPr>
          <w:rFonts w:ascii="黑体" w:eastAsia="黑体" w:hAnsi="宋体" w:cs="Times New Roman"/>
          <w:sz w:val="24"/>
          <w:szCs w:val="24"/>
        </w:rPr>
      </w:pPr>
      <w:bookmarkStart w:id="51" w:name="_Toc73517679"/>
      <w:bookmarkStart w:id="52" w:name="_Toc73518157"/>
      <w:bookmarkStart w:id="53" w:name="_Toc73521586"/>
      <w:bookmarkStart w:id="54" w:name="_Toc100052408"/>
      <w:bookmarkStart w:id="55" w:name="_Toc73521674"/>
      <w:bookmarkStart w:id="56" w:name="_Hlk72439088"/>
      <w:r>
        <w:rPr>
          <w:rFonts w:ascii="黑体" w:eastAsia="黑体" w:hAnsi="宋体" w:cs="Times New Roman" w:hint="eastAsia"/>
          <w:sz w:val="24"/>
          <w:szCs w:val="24"/>
        </w:rPr>
        <w:t>43．合同授予标准</w:t>
      </w:r>
      <w:bookmarkEnd w:id="51"/>
      <w:bookmarkEnd w:id="52"/>
      <w:bookmarkEnd w:id="53"/>
      <w:bookmarkEnd w:id="54"/>
      <w:bookmarkEnd w:id="55"/>
    </w:p>
    <w:p>
      <w:pPr>
        <w:ind w:firstLine="412" w:firstLineChars="196"/>
        <w:rPr>
          <w:rFonts w:ascii="宋体" w:eastAsia="宋体" w:hAnsi="宋体" w:cs="Times New Roman"/>
          <w:szCs w:val="21"/>
        </w:rPr>
      </w:pPr>
      <w:r>
        <w:rPr>
          <w:rFonts w:ascii="宋体" w:eastAsia="宋体" w:hAnsi="宋体" w:cs="Times New Roman" w:hint="eastAsia"/>
          <w:szCs w:val="21"/>
        </w:rPr>
        <w:t>本项目的合同将授予经本招标文件规定评审确定的中标供应商。</w:t>
      </w:r>
    </w:p>
    <w:p>
      <w:pPr>
        <w:rPr>
          <w:rFonts w:ascii="黑体" w:eastAsia="黑体" w:hAnsi="宋体" w:cs="Times New Roman"/>
          <w:sz w:val="24"/>
          <w:szCs w:val="24"/>
        </w:rPr>
      </w:pPr>
      <w:bookmarkStart w:id="57" w:name="_Toc100052409"/>
      <w:bookmarkStart w:id="58" w:name="_Toc73518158"/>
      <w:bookmarkStart w:id="59" w:name="_Toc73521587"/>
      <w:bookmarkStart w:id="60" w:name="_Toc73521675"/>
      <w:bookmarkStart w:id="61" w:name="_Toc73517680"/>
      <w:r>
        <w:rPr>
          <w:rFonts w:ascii="黑体" w:eastAsia="黑体" w:hAnsi="宋体" w:cs="Times New Roman" w:hint="eastAsia"/>
          <w:sz w:val="24"/>
          <w:szCs w:val="24"/>
        </w:rPr>
        <w:t>44．</w:t>
      </w:r>
      <w:bookmarkEnd w:id="57"/>
      <w:bookmarkEnd w:id="58"/>
      <w:bookmarkEnd w:id="59"/>
      <w:bookmarkEnd w:id="60"/>
      <w:bookmarkEnd w:id="61"/>
      <w:r>
        <w:rPr>
          <w:rFonts w:ascii="黑体" w:eastAsia="黑体" w:hAnsi="宋体" w:cs="Times New Roman" w:hint="eastAsia"/>
          <w:sz w:val="24"/>
          <w:szCs w:val="24"/>
        </w:rPr>
        <w:t>接受和拒绝任何或所有投标的权力</w:t>
      </w:r>
    </w:p>
    <w:p>
      <w:pPr>
        <w:ind w:firstLine="412" w:firstLineChars="196"/>
        <w:rPr>
          <w:rFonts w:ascii="宋体" w:eastAsia="宋体" w:hAnsi="宋体" w:cs="Times New Roman"/>
          <w:szCs w:val="21"/>
        </w:rPr>
      </w:pPr>
      <w:r>
        <w:rPr>
          <w:rFonts w:ascii="宋体" w:eastAsia="宋体" w:hAnsi="宋体" w:cs="Times New Roman"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eastAsia="黑体" w:hAnsi="宋体" w:cs="Times New Roman"/>
          <w:sz w:val="24"/>
          <w:szCs w:val="24"/>
        </w:rPr>
      </w:pPr>
      <w:bookmarkStart w:id="62" w:name="_Toc73521589"/>
      <w:bookmarkStart w:id="63" w:name="_Toc73517682"/>
      <w:bookmarkStart w:id="64" w:name="_Toc100052410"/>
      <w:bookmarkStart w:id="65" w:name="_Toc73521677"/>
      <w:bookmarkStart w:id="66" w:name="_Toc73518160"/>
      <w:r>
        <w:rPr>
          <w:rFonts w:ascii="黑体" w:eastAsia="黑体" w:hAnsi="宋体" w:cs="Times New Roman" w:hint="eastAsia"/>
          <w:sz w:val="24"/>
          <w:szCs w:val="24"/>
        </w:rPr>
        <w:t>45．合同的签订</w:t>
      </w:r>
      <w:bookmarkEnd w:id="62"/>
      <w:bookmarkEnd w:id="63"/>
      <w:bookmarkEnd w:id="64"/>
      <w:bookmarkEnd w:id="65"/>
      <w:bookmarkEnd w:id="66"/>
    </w:p>
    <w:p>
      <w:pPr>
        <w:ind w:firstLine="412" w:firstLineChars="196"/>
        <w:rPr>
          <w:rFonts w:ascii="宋体" w:eastAsia="宋体" w:hAnsi="宋体" w:cs="Times New Roman"/>
          <w:szCs w:val="21"/>
        </w:rPr>
      </w:pPr>
      <w:r>
        <w:rPr>
          <w:rFonts w:ascii="宋体" w:eastAsia="宋体" w:hAnsi="宋体" w:cs="Times New Roman" w:hint="eastAsia"/>
          <w:szCs w:val="21"/>
        </w:rPr>
        <w:t>45.1中标人将于中标通知书发出之日起十个工作日内，按照采购文件（招标文件和投标文件等）内容与采购人签订政府采购合同；合同的实质性内容应当符合招标文件的规定；</w:t>
      </w:r>
    </w:p>
    <w:p>
      <w:pPr>
        <w:ind w:firstLine="412" w:firstLineChars="196"/>
        <w:rPr>
          <w:rFonts w:ascii="宋体" w:eastAsia="宋体" w:hAnsi="宋体" w:cs="Times New Roman"/>
          <w:szCs w:val="21"/>
        </w:rPr>
      </w:pPr>
      <w:r>
        <w:rPr>
          <w:rFonts w:ascii="宋体" w:eastAsia="宋体" w:hAnsi="宋体" w:cs="Times New Roman" w:hint="eastAsia"/>
          <w:szCs w:val="21"/>
        </w:rPr>
        <w:t>45.2中标人如不按本通用条款第45</w:t>
      </w:r>
      <w:r>
        <w:rPr>
          <w:rFonts w:ascii="宋体" w:eastAsia="宋体" w:hAnsi="宋体" w:cs="Times New Roman"/>
          <w:szCs w:val="21"/>
        </w:rPr>
        <w:t>.1</w:t>
      </w:r>
      <w:r>
        <w:rPr>
          <w:rFonts w:ascii="宋体" w:eastAsia="宋体" w:hAnsi="宋体" w:cs="Times New Roman" w:hint="eastAsia"/>
          <w:szCs w:val="21"/>
        </w:rPr>
        <w:t>款的规定与采购人签订合同，</w:t>
      </w:r>
      <w:r>
        <w:rPr>
          <w:rFonts w:ascii="宋体" w:eastAsia="宋体" w:hAnsi="宋体" w:cs="宋体"/>
          <w:kern w:val="0"/>
          <w:szCs w:val="21"/>
        </w:rPr>
        <w:t>情节严重的，由</w:t>
      </w:r>
      <w:r>
        <w:rPr>
          <w:rFonts w:ascii="宋体" w:eastAsia="宋体" w:hAnsi="宋体" w:cs="宋体" w:hint="eastAsia"/>
          <w:kern w:val="0"/>
          <w:szCs w:val="21"/>
        </w:rPr>
        <w:t>同级财政</w:t>
      </w:r>
      <w:r>
        <w:rPr>
          <w:rFonts w:ascii="宋体" w:eastAsia="宋体" w:hAnsi="宋体" w:cs="宋体"/>
          <w:kern w:val="0"/>
          <w:szCs w:val="21"/>
        </w:rPr>
        <w:t>部门记入供应商诚信档案，予以通报</w:t>
      </w:r>
      <w:r>
        <w:rPr>
          <w:rFonts w:ascii="宋体" w:eastAsia="宋体" w:hAnsi="宋体" w:cs="Times New Roman" w:hint="eastAsia"/>
          <w:szCs w:val="21"/>
        </w:rPr>
        <w:t>；</w:t>
      </w:r>
    </w:p>
    <w:p>
      <w:pPr>
        <w:ind w:firstLine="412" w:firstLineChars="196"/>
        <w:rPr>
          <w:rFonts w:ascii="宋体" w:eastAsia="宋体" w:hAnsi="宋体" w:cs="Times New Roman"/>
          <w:szCs w:val="21"/>
        </w:rPr>
      </w:pPr>
      <w:r>
        <w:rPr>
          <w:rFonts w:ascii="宋体" w:eastAsia="宋体" w:hAnsi="宋体" w:cs="Times New Roman" w:hint="eastAsia"/>
          <w:szCs w:val="21"/>
        </w:rPr>
        <w:t>45.3中标人应当按照合同约定履行义务，完成中标项目，不得将中标项目转让（转包）给他人。</w:t>
      </w:r>
    </w:p>
    <w:p>
      <w:pPr>
        <w:rPr>
          <w:rFonts w:ascii="黑体" w:eastAsia="黑体" w:hAnsi="宋体" w:cs="Times New Roman"/>
          <w:sz w:val="24"/>
          <w:szCs w:val="24"/>
        </w:rPr>
      </w:pPr>
      <w:bookmarkStart w:id="67" w:name="_Toc100052411"/>
      <w:bookmarkStart w:id="68" w:name="_Toc73517683"/>
      <w:bookmarkStart w:id="69" w:name="_Toc73521678"/>
      <w:bookmarkStart w:id="70" w:name="_Toc73518161"/>
      <w:bookmarkStart w:id="71" w:name="_Toc73521590"/>
      <w:r>
        <w:rPr>
          <w:rFonts w:ascii="黑体" w:eastAsia="黑体" w:hAnsi="宋体" w:cs="Times New Roman" w:hint="eastAsia"/>
          <w:sz w:val="24"/>
          <w:szCs w:val="24"/>
        </w:rPr>
        <w:t>46．履约担保</w:t>
      </w:r>
      <w:bookmarkEnd w:id="67"/>
      <w:bookmarkEnd w:id="68"/>
      <w:bookmarkEnd w:id="69"/>
      <w:bookmarkEnd w:id="70"/>
      <w:bookmarkEnd w:id="71"/>
    </w:p>
    <w:p>
      <w:pPr>
        <w:ind w:firstLine="412" w:firstLineChars="196"/>
        <w:rPr>
          <w:rFonts w:ascii="宋体" w:eastAsia="宋体" w:hAnsi="宋体" w:cs="Times New Roman"/>
          <w:szCs w:val="21"/>
        </w:rPr>
      </w:pPr>
      <w:r>
        <w:rPr>
          <w:rFonts w:ascii="宋体" w:eastAsia="宋体" w:hAnsi="宋体" w:cs="Times New Roman" w:hint="eastAsia"/>
          <w:szCs w:val="21"/>
        </w:rPr>
        <w:t>46.1在签订项目合同的同时，中标人应按“对通用条款的补充内容”中规定的金额向采购人提交履约担保；</w:t>
      </w:r>
    </w:p>
    <w:p>
      <w:pPr>
        <w:ind w:firstLine="412" w:firstLineChars="196"/>
        <w:rPr>
          <w:rFonts w:ascii="宋体" w:eastAsia="宋体" w:hAnsi="宋体" w:cs="Times New Roman"/>
          <w:szCs w:val="21"/>
        </w:rPr>
      </w:pPr>
      <w:r>
        <w:rPr>
          <w:rFonts w:ascii="宋体" w:eastAsia="宋体" w:hAnsi="宋体" w:cs="Times New Roman" w:hint="eastAsia"/>
          <w:szCs w:val="21"/>
        </w:rPr>
        <w:t>46.2，允许供应商自主选择以支票、汇票、本票、保函等非现金方式提交履约担保；</w:t>
      </w:r>
      <w:r>
        <w:rPr>
          <w:rFonts w:ascii="Times New Roman" w:eastAsia="宋体" w:hAnsi="Times New Roman" w:cs="Times New Roman"/>
          <w:szCs w:val="24"/>
        </w:rPr>
        <w:t>中标</w:t>
      </w:r>
      <w:r>
        <w:rPr>
          <w:rFonts w:ascii="Times New Roman" w:eastAsia="宋体" w:hAnsi="Times New Roman" w:cs="Times New Roman" w:hint="eastAsia"/>
          <w:szCs w:val="24"/>
        </w:rPr>
        <w:t>人</w:t>
      </w:r>
      <w:r>
        <w:rPr>
          <w:rFonts w:ascii="Times New Roman" w:eastAsia="宋体" w:hAnsi="Times New Roman" w:cs="Times New Roman"/>
          <w:szCs w:val="24"/>
        </w:rPr>
        <w:t>提交履约</w:t>
      </w:r>
      <w:r>
        <w:rPr>
          <w:rFonts w:ascii="Times New Roman" w:eastAsia="宋体" w:hAnsi="Times New Roman" w:cs="Times New Roman" w:hint="eastAsia"/>
          <w:szCs w:val="24"/>
        </w:rPr>
        <w:t>担保不是</w:t>
      </w:r>
      <w:r>
        <w:rPr>
          <w:rFonts w:ascii="Times New Roman" w:eastAsia="宋体" w:hAnsi="Times New Roman" w:cs="Times New Roman"/>
          <w:szCs w:val="24"/>
        </w:rPr>
        <w:t>合同签订的</w:t>
      </w:r>
      <w:r>
        <w:rPr>
          <w:rFonts w:ascii="Times New Roman" w:eastAsia="宋体" w:hAnsi="Times New Roman" w:cs="Times New Roman" w:hint="eastAsia"/>
          <w:szCs w:val="24"/>
        </w:rPr>
        <w:t>前提</w:t>
      </w:r>
      <w:r>
        <w:rPr>
          <w:rFonts w:ascii="Times New Roman" w:eastAsia="宋体" w:hAnsi="Times New Roman" w:cs="Times New Roman"/>
          <w:szCs w:val="24"/>
        </w:rPr>
        <w:t>条件，不要求中标</w:t>
      </w:r>
      <w:r>
        <w:rPr>
          <w:rFonts w:ascii="Times New Roman" w:eastAsia="宋体" w:hAnsi="Times New Roman" w:cs="Times New Roman" w:hint="eastAsia"/>
          <w:szCs w:val="24"/>
        </w:rPr>
        <w:t>人</w:t>
      </w:r>
      <w:r>
        <w:rPr>
          <w:rFonts w:ascii="Times New Roman" w:eastAsia="宋体" w:hAnsi="Times New Roman" w:cs="Times New Roman"/>
          <w:szCs w:val="24"/>
        </w:rPr>
        <w:t>提供除法律、法规明确规定外的其他担保</w:t>
      </w:r>
      <w:r>
        <w:rPr>
          <w:rFonts w:ascii="Times New Roman" w:eastAsia="宋体" w:hAnsi="Times New Roman" w:cs="Times New Roman" w:hint="eastAsia"/>
          <w:szCs w:val="24"/>
        </w:rPr>
        <w:t>。</w:t>
      </w:r>
    </w:p>
    <w:p>
      <w:pPr>
        <w:rPr>
          <w:rFonts w:ascii="黑体" w:eastAsia="黑体" w:hAnsi="宋体" w:cs="Times New Roman"/>
          <w:sz w:val="24"/>
          <w:szCs w:val="24"/>
        </w:rPr>
      </w:pPr>
      <w:r>
        <w:rPr>
          <w:rFonts w:ascii="黑体" w:eastAsia="黑体" w:hAnsi="宋体" w:cs="Times New Roman" w:hint="eastAsia"/>
          <w:sz w:val="24"/>
          <w:szCs w:val="24"/>
        </w:rPr>
        <w:t>47. 合同备案</w:t>
      </w:r>
    </w:p>
    <w:p>
      <w:pPr>
        <w:ind w:firstLine="412" w:firstLineChars="196"/>
        <w:rPr>
          <w:rFonts w:ascii="宋体" w:eastAsia="宋体" w:hAnsi="宋体" w:cs="Times New Roman"/>
          <w:szCs w:val="21"/>
        </w:rPr>
      </w:pPr>
      <w:r>
        <w:rPr>
          <w:rFonts w:ascii="宋体" w:eastAsia="宋体" w:hAnsi="宋体" w:cs="Times New Roman" w:hint="eastAsia"/>
          <w:szCs w:val="21"/>
        </w:rPr>
        <w:t>采购人与中标人应于合同签订之日起十日内，由采购人或委托中标人将采购合同副本抄送合同备案工作实施机构备案。</w:t>
      </w:r>
    </w:p>
    <w:p>
      <w:pPr>
        <w:rPr>
          <w:rFonts w:ascii="黑体" w:eastAsia="黑体" w:hAnsi="宋体" w:cs="Times New Roman"/>
          <w:sz w:val="24"/>
          <w:szCs w:val="24"/>
        </w:rPr>
      </w:pPr>
      <w:r>
        <w:rPr>
          <w:rFonts w:ascii="黑体" w:eastAsia="黑体" w:hAnsi="宋体" w:cs="Times New Roman" w:hint="eastAsia"/>
          <w:sz w:val="24"/>
          <w:szCs w:val="24"/>
        </w:rPr>
        <w:t>48. 合同变更</w:t>
      </w:r>
    </w:p>
    <w:p>
      <w:pPr>
        <w:ind w:firstLine="412" w:firstLineChars="196"/>
        <w:rPr>
          <w:rFonts w:ascii="宋体" w:eastAsia="宋体" w:hAnsi="宋体" w:cs="Times New Roman"/>
          <w:szCs w:val="21"/>
        </w:rPr>
      </w:pPr>
      <w:r>
        <w:rPr>
          <w:rFonts w:ascii="宋体" w:hAnsi="宋体" w:hint="eastAsia"/>
          <w:szCs w:val="21"/>
        </w:rPr>
        <w:t>合同变更事宜按《深圳市财政局 深圳市政府采购中心关于进一步加强市本级政府采购合同备案管理工作的通知》（深财购〔2019〕43号）相关规定执行。</w:t>
      </w:r>
    </w:p>
    <w:p>
      <w:pPr>
        <w:rPr>
          <w:rFonts w:ascii="黑体" w:eastAsia="黑体" w:hAnsi="宋体" w:cs="Times New Roman"/>
          <w:sz w:val="24"/>
          <w:szCs w:val="24"/>
        </w:rPr>
      </w:pPr>
      <w:r>
        <w:rPr>
          <w:rFonts w:ascii="黑体" w:eastAsia="黑体" w:hAnsi="宋体" w:cs="Times New Roman" w:hint="eastAsia"/>
          <w:sz w:val="24"/>
          <w:szCs w:val="24"/>
        </w:rPr>
        <w:t>49. 项目验收</w:t>
      </w:r>
    </w:p>
    <w:p>
      <w:pPr>
        <w:widowControl/>
        <w:ind w:right="176" w:firstLine="420"/>
        <w:jc w:val="left"/>
        <w:rPr>
          <w:rFonts w:ascii="宋体" w:eastAsia="宋体" w:hAnsi="宋体" w:cs="Times New Roman"/>
          <w:szCs w:val="24"/>
        </w:rPr>
      </w:pPr>
      <w:r>
        <w:rPr>
          <w:rFonts w:ascii="宋体" w:eastAsia="宋体" w:hAnsi="宋体" w:cs="Times New Roman" w:hint="eastAsia"/>
          <w:szCs w:val="24"/>
        </w:rPr>
        <w:t>49.1采购人应当按照招标文件和合同规定的标准和方法，及时组织验收。</w:t>
      </w:r>
    </w:p>
    <w:p>
      <w:pPr>
        <w:rPr>
          <w:rFonts w:ascii="黑体" w:eastAsia="黑体" w:hAnsi="宋体" w:cs="Times New Roman"/>
          <w:sz w:val="24"/>
          <w:szCs w:val="24"/>
        </w:rPr>
      </w:pPr>
      <w:r>
        <w:rPr>
          <w:rFonts w:ascii="黑体" w:eastAsia="黑体" w:hAnsi="宋体" w:cs="Times New Roman" w:hint="eastAsia"/>
          <w:sz w:val="24"/>
          <w:szCs w:val="24"/>
        </w:rPr>
        <w:t>50. 宣传</w:t>
      </w:r>
    </w:p>
    <w:p>
      <w:pPr>
        <w:ind w:left="210" w:firstLine="412" w:leftChars="100" w:firstLineChars="196"/>
        <w:rPr>
          <w:rFonts w:ascii="宋体" w:eastAsia="宋体" w:hAnsi="宋体" w:cs="Times New Roman"/>
          <w:szCs w:val="24"/>
        </w:rPr>
      </w:pPr>
      <w:r>
        <w:rPr>
          <w:rFonts w:ascii="宋体" w:eastAsia="宋体" w:hAnsi="宋体" w:cs="Times New Roman" w:hint="eastAsia"/>
          <w:szCs w:val="24"/>
        </w:rPr>
        <w:t>凡与政府采购活动有关的宣传或广告，若当中提及政府采购，</w:t>
      </w:r>
      <w:r>
        <w:rPr>
          <w:rFonts w:ascii="宋体" w:eastAsia="宋体" w:hAnsi="宋体" w:cs="Times New Roman"/>
          <w:szCs w:val="24"/>
        </w:rPr>
        <w:t>必须事先将具体对外宣传方案报</w:t>
      </w:r>
      <w:r>
        <w:rPr>
          <w:rFonts w:ascii="宋体" w:eastAsia="宋体" w:hAnsi="宋体" w:cs="Times New Roman" w:hint="eastAsia"/>
          <w:szCs w:val="24"/>
        </w:rPr>
        <w:t>同级财政部门</w:t>
      </w:r>
      <w:r>
        <w:rPr>
          <w:rFonts w:ascii="宋体" w:eastAsia="宋体" w:hAnsi="宋体" w:cs="Times New Roman"/>
          <w:szCs w:val="24"/>
        </w:rPr>
        <w:t>和</w:t>
      </w:r>
      <w:r>
        <w:rPr>
          <w:rFonts w:ascii="宋体" w:eastAsia="宋体" w:hAnsi="宋体" w:cs="Times New Roman" w:hint="eastAsia"/>
          <w:szCs w:val="24"/>
        </w:rPr>
        <w:t>政府集中采购机构</w:t>
      </w:r>
      <w:r>
        <w:rPr>
          <w:rFonts w:ascii="宋体" w:eastAsia="宋体" w:hAnsi="宋体" w:cs="Times New Roman"/>
          <w:szCs w:val="24"/>
        </w:rPr>
        <w:t>，并征得其同意。对外市场宣传包括但不限于以下形式：</w:t>
      </w:r>
    </w:p>
    <w:p>
      <w:pPr>
        <w:ind w:left="210" w:firstLine="412" w:leftChars="100" w:firstLineChars="196"/>
        <w:rPr>
          <w:rFonts w:ascii="宋体" w:eastAsia="宋体" w:hAnsi="宋体" w:cs="Times New Roman"/>
          <w:szCs w:val="24"/>
        </w:rPr>
      </w:pPr>
      <w:r>
        <w:rPr>
          <w:rFonts w:ascii="宋体" w:eastAsia="宋体" w:hAnsi="宋体" w:cs="Times New Roman"/>
          <w:szCs w:val="24"/>
        </w:rPr>
        <w:t>a.名片、宣传册、广告标语等；</w:t>
      </w:r>
    </w:p>
    <w:p>
      <w:pPr>
        <w:ind w:left="210" w:firstLine="412" w:leftChars="100" w:firstLineChars="196"/>
        <w:rPr>
          <w:rFonts w:ascii="宋体" w:eastAsia="宋体" w:hAnsi="宋体" w:cs="Times New Roman"/>
          <w:szCs w:val="24"/>
        </w:rPr>
      </w:pPr>
      <w:r>
        <w:rPr>
          <w:rFonts w:ascii="宋体" w:eastAsia="宋体" w:hAnsi="宋体" w:cs="Times New Roman"/>
          <w:szCs w:val="24"/>
        </w:rPr>
        <w:t>b.案例介绍、推广等；</w:t>
      </w:r>
    </w:p>
    <w:p>
      <w:pPr>
        <w:ind w:left="210" w:firstLine="412" w:leftChars="100" w:firstLineChars="196"/>
        <w:rPr>
          <w:rFonts w:ascii="宋体" w:eastAsia="宋体" w:hAnsi="宋体" w:cs="Times New Roman"/>
          <w:szCs w:val="24"/>
        </w:rPr>
      </w:pPr>
      <w:r>
        <w:rPr>
          <w:rFonts w:ascii="宋体" w:eastAsia="宋体" w:hAnsi="宋体" w:cs="Times New Roman" w:hint="eastAsia"/>
          <w:szCs w:val="24"/>
        </w:rPr>
        <w:t>c.工作</w:t>
      </w:r>
      <w:r>
        <w:rPr>
          <w:rFonts w:ascii="宋体" w:eastAsia="宋体" w:hAnsi="宋体" w:cs="Times New Roman"/>
          <w:szCs w:val="24"/>
        </w:rPr>
        <w:t>人员向其他消费群体宣传。</w:t>
      </w:r>
    </w:p>
    <w:p>
      <w:pPr>
        <w:rPr>
          <w:rFonts w:ascii="黑体" w:eastAsia="黑体" w:hAnsi="宋体" w:cs="Times New Roman"/>
          <w:sz w:val="24"/>
          <w:szCs w:val="24"/>
        </w:rPr>
      </w:pPr>
      <w:r>
        <w:rPr>
          <w:rFonts w:ascii="黑体" w:eastAsia="黑体" w:hAnsi="宋体" w:cs="Times New Roman" w:hint="eastAsia"/>
          <w:sz w:val="24"/>
          <w:szCs w:val="24"/>
        </w:rPr>
        <w:t>51. 供应商违法责任</w:t>
      </w:r>
    </w:p>
    <w:p>
      <w:pPr>
        <w:ind w:firstLine="412" w:firstLineChars="196"/>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1.1</w:t>
      </w:r>
      <w:r>
        <w:rPr>
          <w:rFonts w:ascii="宋体" w:eastAsia="宋体" w:hAnsi="宋体" w:cs="Times New Roman"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2" w:firstLineChars="196"/>
        <w:rPr>
          <w:rFonts w:ascii="宋体" w:eastAsia="宋体" w:hAnsi="宋体" w:cs="Times New Roman"/>
          <w:szCs w:val="21"/>
        </w:rPr>
      </w:pPr>
      <w:r>
        <w:rPr>
          <w:rFonts w:ascii="宋体" w:eastAsia="宋体" w:hAnsi="宋体" w:cs="Times New Roman" w:hint="eastAsia"/>
          <w:szCs w:val="21"/>
        </w:rPr>
        <w:t>（1）在采购活动中应当回避而未回避的；</w:t>
      </w:r>
    </w:p>
    <w:p>
      <w:pPr>
        <w:ind w:firstLine="412" w:firstLineChars="196"/>
        <w:rPr>
          <w:rFonts w:ascii="宋体" w:eastAsia="宋体" w:hAnsi="宋体" w:cs="Times New Roman"/>
          <w:szCs w:val="21"/>
        </w:rPr>
      </w:pPr>
      <w:r>
        <w:rPr>
          <w:rFonts w:ascii="宋体" w:eastAsia="宋体" w:hAnsi="宋体" w:cs="Times New Roman" w:hint="eastAsia"/>
          <w:szCs w:val="21"/>
        </w:rPr>
        <w:t>（2）未按本条例规定签订、履行采购合同，造成严重后果的；</w:t>
      </w:r>
    </w:p>
    <w:p>
      <w:pPr>
        <w:ind w:firstLine="412" w:firstLineChars="196"/>
        <w:rPr>
          <w:rFonts w:ascii="宋体" w:eastAsia="宋体" w:hAnsi="宋体" w:cs="Times New Roman"/>
          <w:szCs w:val="21"/>
        </w:rPr>
      </w:pPr>
      <w:r>
        <w:rPr>
          <w:rFonts w:ascii="宋体" w:eastAsia="宋体" w:hAnsi="宋体" w:cs="Times New Roman" w:hint="eastAsia"/>
          <w:szCs w:val="21"/>
        </w:rPr>
        <w:t>（3）隐瞒真实情况，提供虚假资料的；</w:t>
      </w:r>
    </w:p>
    <w:p>
      <w:pPr>
        <w:ind w:firstLine="412" w:firstLineChars="196"/>
        <w:rPr>
          <w:rFonts w:ascii="宋体" w:eastAsia="宋体" w:hAnsi="宋体" w:cs="Times New Roman"/>
          <w:szCs w:val="21"/>
        </w:rPr>
      </w:pPr>
      <w:r>
        <w:rPr>
          <w:rFonts w:ascii="宋体" w:eastAsia="宋体" w:hAnsi="宋体" w:cs="Times New Roman" w:hint="eastAsia"/>
          <w:szCs w:val="21"/>
        </w:rPr>
        <w:t>（4）以非法手段排斥其他供应商参与竞争的；</w:t>
      </w:r>
    </w:p>
    <w:p>
      <w:pPr>
        <w:ind w:firstLine="412" w:firstLineChars="196"/>
        <w:rPr>
          <w:rFonts w:ascii="宋体" w:eastAsia="宋体" w:hAnsi="宋体" w:cs="Times New Roman"/>
          <w:szCs w:val="21"/>
        </w:rPr>
      </w:pPr>
      <w:r>
        <w:rPr>
          <w:rFonts w:ascii="宋体" w:eastAsia="宋体" w:hAnsi="宋体" w:cs="Times New Roman" w:hint="eastAsia"/>
          <w:szCs w:val="21"/>
        </w:rPr>
        <w:t>（5）与其他采购参加人串通投标的；</w:t>
      </w:r>
    </w:p>
    <w:p>
      <w:pPr>
        <w:ind w:firstLine="412" w:firstLineChars="196"/>
        <w:rPr>
          <w:rFonts w:ascii="宋体" w:eastAsia="宋体" w:hAnsi="宋体" w:cs="Times New Roman"/>
          <w:szCs w:val="21"/>
        </w:rPr>
      </w:pPr>
      <w:r>
        <w:rPr>
          <w:rFonts w:ascii="宋体" w:eastAsia="宋体" w:hAnsi="宋体" w:cs="Times New Roman" w:hint="eastAsia"/>
          <w:szCs w:val="21"/>
        </w:rPr>
        <w:t>（6）恶意投诉的；</w:t>
      </w:r>
    </w:p>
    <w:p>
      <w:pPr>
        <w:ind w:firstLine="412" w:firstLineChars="196"/>
        <w:rPr>
          <w:rFonts w:ascii="宋体" w:eastAsia="宋体" w:hAnsi="宋体" w:cs="Times New Roman"/>
          <w:szCs w:val="21"/>
        </w:rPr>
      </w:pPr>
      <w:r>
        <w:rPr>
          <w:rFonts w:ascii="宋体" w:eastAsia="宋体" w:hAnsi="宋体" w:cs="Times New Roman" w:hint="eastAsia"/>
          <w:szCs w:val="21"/>
        </w:rPr>
        <w:t>（7）向采购项目相关人行贿或者提供其他不当利益的；</w:t>
      </w:r>
    </w:p>
    <w:p>
      <w:pPr>
        <w:ind w:firstLine="412" w:firstLineChars="196"/>
        <w:rPr>
          <w:rFonts w:ascii="宋体" w:eastAsia="宋体" w:hAnsi="宋体" w:cs="Times New Roman"/>
          <w:szCs w:val="21"/>
        </w:rPr>
      </w:pPr>
      <w:r>
        <w:rPr>
          <w:rFonts w:ascii="宋体" w:eastAsia="宋体" w:hAnsi="宋体" w:cs="Times New Roman" w:hint="eastAsia"/>
          <w:szCs w:val="21"/>
        </w:rPr>
        <w:t>（8）阻碍、抗拒主管部门监督检查的；</w:t>
      </w:r>
    </w:p>
    <w:p>
      <w:pPr>
        <w:ind w:firstLine="412" w:firstLineChars="196"/>
        <w:rPr>
          <w:rFonts w:ascii="宋体" w:eastAsia="宋体" w:hAnsi="宋体" w:cs="Times New Roman"/>
          <w:szCs w:val="21"/>
        </w:rPr>
      </w:pPr>
      <w:r>
        <w:rPr>
          <w:rFonts w:ascii="宋体" w:eastAsia="宋体" w:hAnsi="宋体" w:cs="Times New Roman" w:hint="eastAsia"/>
          <w:szCs w:val="21"/>
        </w:rPr>
        <w:t>（9）其他违反本条例规定的行为。</w:t>
      </w:r>
    </w:p>
    <w:p>
      <w:pPr>
        <w:ind w:firstLine="412" w:firstLineChars="196"/>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 xml:space="preserve">1.2 </w:t>
      </w:r>
      <w:r>
        <w:rPr>
          <w:rFonts w:ascii="宋体" w:eastAsia="宋体" w:hAnsi="宋体" w:cs="Times New Roman" w:hint="eastAsia"/>
          <w:szCs w:val="21"/>
        </w:rPr>
        <w:t>根据《深圳市财政局关于明确政府采购保证金管理工作的通知》（深财购[2019]42号）的要求，供应商在政府采购活动中出现《深圳经济特区政府采购条例实施细则》第八十四条所列情形的，</w:t>
      </w:r>
      <w:bookmarkStart w:id="72" w:name="_Hlk72440769"/>
      <w:r>
        <w:rPr>
          <w:rFonts w:ascii="宋体" w:eastAsia="宋体" w:hAnsi="宋体" w:cs="Times New Roman" w:hint="eastAsia"/>
          <w:szCs w:val="21"/>
        </w:rPr>
        <w:t>采购人或政府集中采购机构</w:t>
      </w:r>
      <w:bookmarkEnd w:id="72"/>
      <w:r>
        <w:rPr>
          <w:rFonts w:ascii="宋体" w:eastAsia="宋体" w:hAnsi="宋体" w:cs="Times New Roman" w:hint="eastAsia"/>
          <w:szCs w:val="21"/>
        </w:rPr>
        <w:t>可将有关情况报同级财政部门，由财政部门根据实际情况记入供应商诚信档案，予以通报：</w:t>
      </w:r>
    </w:p>
    <w:p>
      <w:pPr>
        <w:ind w:firstLine="412" w:firstLineChars="196"/>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）投标截止后，撤销投标的；</w:t>
      </w:r>
    </w:p>
    <w:p>
      <w:pPr>
        <w:ind w:firstLine="412" w:firstLineChars="196"/>
        <w:rPr>
          <w:rFonts w:ascii="宋体" w:eastAsia="宋体" w:hAnsi="宋体" w:cs="Times New Roman"/>
          <w:szCs w:val="21"/>
        </w:rPr>
      </w:pPr>
      <w:r>
        <w:rPr>
          <w:rFonts w:ascii="宋体" w:eastAsia="宋体" w:hAnsi="宋体" w:cs="Times New Roman"/>
          <w:szCs w:val="21"/>
        </w:rPr>
        <w:t>（</w:t>
      </w:r>
      <w:r>
        <w:rPr>
          <w:rFonts w:ascii="宋体" w:eastAsia="宋体" w:hAnsi="宋体" w:cs="Times New Roman" w:hint="eastAsia"/>
          <w:szCs w:val="21"/>
        </w:rPr>
        <w:t>2</w:t>
      </w:r>
      <w:r>
        <w:rPr>
          <w:rFonts w:ascii="宋体" w:eastAsia="宋体" w:hAnsi="宋体" w:cs="Times New Roman"/>
          <w:szCs w:val="21"/>
        </w:rPr>
        <w:t>）中标后无正当理由未在规定期限内签订合同的；</w:t>
      </w:r>
    </w:p>
    <w:p>
      <w:pPr>
        <w:ind w:firstLine="412" w:firstLineChars="196"/>
        <w:rPr>
          <w:rFonts w:ascii="宋体" w:eastAsia="宋体" w:hAnsi="宋体" w:cs="Times New Roman"/>
          <w:szCs w:val="21"/>
        </w:rPr>
      </w:pPr>
      <w:r>
        <w:rPr>
          <w:rFonts w:ascii="宋体" w:eastAsia="宋体" w:hAnsi="宋体" w:cs="Times New Roman"/>
          <w:szCs w:val="21"/>
        </w:rPr>
        <w:t>（</w:t>
      </w:r>
      <w:r>
        <w:rPr>
          <w:rFonts w:ascii="宋体" w:eastAsia="宋体" w:hAnsi="宋体" w:cs="Times New Roman" w:hint="eastAsia"/>
          <w:szCs w:val="21"/>
        </w:rPr>
        <w:t>3</w:t>
      </w:r>
      <w:r>
        <w:rPr>
          <w:rFonts w:ascii="宋体" w:eastAsia="宋体" w:hAnsi="宋体" w:cs="Times New Roman"/>
          <w:szCs w:val="21"/>
        </w:rPr>
        <w:t>）将中标项目转让给他人、或者在投标文件中未说明且未经采购人、采购招标机构同意，将中标项目分包给他人的；</w:t>
      </w:r>
    </w:p>
    <w:p>
      <w:pPr>
        <w:ind w:firstLine="412" w:firstLineChars="196"/>
        <w:rPr>
          <w:rFonts w:ascii="宋体" w:eastAsia="宋体" w:hAnsi="宋体" w:cs="Times New Roman"/>
          <w:szCs w:val="21"/>
        </w:rPr>
      </w:pPr>
      <w:r>
        <w:rPr>
          <w:rFonts w:ascii="宋体" w:eastAsia="宋体" w:hAnsi="宋体" w:cs="Times New Roman"/>
          <w:szCs w:val="21"/>
        </w:rPr>
        <w:t>（</w:t>
      </w:r>
      <w:r>
        <w:rPr>
          <w:rFonts w:ascii="宋体" w:eastAsia="宋体" w:hAnsi="宋体" w:cs="Times New Roman" w:hint="eastAsia"/>
          <w:szCs w:val="21"/>
        </w:rPr>
        <w:t>4</w:t>
      </w:r>
      <w:r>
        <w:rPr>
          <w:rFonts w:ascii="宋体" w:eastAsia="宋体" w:hAnsi="宋体" w:cs="Times New Roman"/>
          <w:szCs w:val="21"/>
        </w:rPr>
        <w:t>）拒绝履行合同义务的</w:t>
      </w:r>
      <w:r>
        <w:rPr>
          <w:rFonts w:ascii="宋体" w:eastAsia="宋体" w:hAnsi="宋体" w:cs="Times New Roman" w:hint="eastAsia"/>
          <w:szCs w:val="21"/>
        </w:rPr>
        <w:t>。</w:t>
      </w:r>
      <w:bookmarkEnd w:id="56"/>
    </w:p>
    <w:p>
      <w:pPr>
        <w:keepNext/>
        <w:keepLines/>
        <w:numPr>
          <w:ilvl w:val="0"/>
          <w:numId w:val="8"/>
        </w:numPr>
        <w:adjustRightInd w:val="0"/>
        <w:spacing w:before="156" w:beforeLines="50" w:after="156" w:afterLines="50"/>
        <w:ind w:left="562" w:hanging="562"/>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质疑处理</w:t>
      </w:r>
    </w:p>
    <w:p>
      <w:pPr>
        <w:rPr>
          <w:rFonts w:ascii="黑体" w:eastAsia="黑体" w:hAnsi="宋体" w:cs="Times New Roman"/>
          <w:sz w:val="24"/>
          <w:szCs w:val="24"/>
        </w:rPr>
      </w:pPr>
      <w:bookmarkStart w:id="73" w:name="_Hlk72439706"/>
      <w:r>
        <w:rPr>
          <w:rFonts w:ascii="黑体" w:eastAsia="黑体" w:hAnsi="宋体" w:cs="Times New Roman" w:hint="eastAsia"/>
          <w:sz w:val="24"/>
          <w:szCs w:val="24"/>
        </w:rPr>
        <w:t>52.质疑提出与答复</w:t>
      </w:r>
    </w:p>
    <w:p>
      <w:pPr>
        <w:rPr>
          <w:rFonts w:ascii="宋体" w:eastAsia="宋体" w:hAnsi="宋体" w:cs="Times New Roman"/>
          <w:szCs w:val="21"/>
        </w:rPr>
      </w:pPr>
      <w:r>
        <w:rPr>
          <w:rFonts w:ascii="宋体" w:eastAsia="宋体" w:hAnsi="宋体" w:cs="Times New Roman" w:hint="eastAsia"/>
          <w:szCs w:val="21"/>
        </w:rPr>
        <w:t xml:space="preserve">    52.1提出质疑</w:t>
      </w:r>
    </w:p>
    <w:p>
      <w:pPr>
        <w:rPr>
          <w:rFonts w:ascii="宋体" w:eastAsia="宋体" w:hAnsi="宋体" w:cs="Times New Roman"/>
          <w:szCs w:val="21"/>
        </w:rPr>
      </w:pPr>
      <w:r>
        <w:rPr>
          <w:rFonts w:ascii="宋体" w:eastAsia="宋体" w:hAnsi="宋体" w:cs="Times New Roman" w:hint="eastAsia"/>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eastAsia="宋体" w:hAnsi="宋体" w:cs="Times New Roman"/>
          <w:szCs w:val="21"/>
        </w:rPr>
      </w:pPr>
      <w:r>
        <w:rPr>
          <w:rFonts w:ascii="宋体" w:eastAsia="宋体" w:hAnsi="宋体" w:cs="Times New Roman" w:hint="eastAsia"/>
          <w:szCs w:val="21"/>
        </w:rPr>
        <w:t xml:space="preserve">    52.2</w:t>
      </w:r>
      <w:r>
        <w:rPr>
          <w:rFonts w:ascii="宋体" w:eastAsia="宋体" w:hAnsi="宋体" w:cs="Times New Roman"/>
          <w:szCs w:val="21"/>
        </w:rPr>
        <w:t>法律依据</w:t>
      </w:r>
    </w:p>
    <w:p>
      <w:pPr>
        <w:rPr>
          <w:rFonts w:ascii="宋体" w:eastAsia="宋体" w:hAnsi="宋体" w:cs="Times New Roman"/>
          <w:szCs w:val="21"/>
        </w:rPr>
      </w:pPr>
      <w:r>
        <w:rPr>
          <w:rFonts w:ascii="宋体" w:eastAsia="宋体" w:hAnsi="宋体" w:cs="Times New Roman" w:hint="eastAsia"/>
          <w:szCs w:val="21"/>
        </w:rPr>
        <w:t xml:space="preserve">    《中华人民共和国政府采购法》、《中华人民共和国政府采购法实施条例》、</w:t>
      </w:r>
      <w:r>
        <w:rPr>
          <w:rFonts w:ascii="宋体" w:eastAsia="宋体" w:hAnsi="宋体" w:cs="Times New Roman"/>
          <w:szCs w:val="21"/>
        </w:rPr>
        <w:t>《</w:t>
      </w:r>
      <w:r>
        <w:rPr>
          <w:rFonts w:ascii="宋体" w:eastAsia="宋体" w:hAnsi="宋体" w:cs="Times New Roman" w:hint="eastAsia"/>
          <w:szCs w:val="21"/>
        </w:rPr>
        <w:t>深圳经济特区政府采购</w:t>
      </w:r>
      <w:r>
        <w:rPr>
          <w:rFonts w:ascii="宋体" w:eastAsia="宋体" w:hAnsi="宋体" w:cs="Times New Roman"/>
          <w:szCs w:val="21"/>
        </w:rPr>
        <w:t>条例</w:t>
      </w:r>
      <w:r>
        <w:rPr>
          <w:rFonts w:ascii="宋体" w:eastAsia="宋体" w:hAnsi="宋体" w:cs="Times New Roman" w:hint="eastAsia"/>
          <w:szCs w:val="21"/>
        </w:rPr>
        <w:t>》、《深圳经济特区政府采购条例实施细则》、《政府采购质疑和投诉办法》（财政部令第94号）和其他有关法律法规规定。</w:t>
      </w:r>
    </w:p>
    <w:p>
      <w:pPr>
        <w:rPr>
          <w:rFonts w:ascii="宋体" w:eastAsia="宋体" w:hAnsi="宋体" w:cs="Times New Roman"/>
          <w:szCs w:val="21"/>
        </w:rPr>
      </w:pPr>
      <w:r>
        <w:rPr>
          <w:rFonts w:ascii="宋体" w:eastAsia="宋体" w:hAnsi="宋体" w:cs="Times New Roman" w:hint="eastAsia"/>
          <w:szCs w:val="21"/>
        </w:rPr>
        <w:t>52.3质疑条件</w:t>
      </w:r>
    </w:p>
    <w:p>
      <w:pPr>
        <w:rPr>
          <w:rFonts w:ascii="宋体" w:eastAsia="宋体" w:hAnsi="宋体" w:cs="Times New Roman"/>
          <w:szCs w:val="21"/>
        </w:rPr>
      </w:pPr>
      <w:r>
        <w:rPr>
          <w:rFonts w:ascii="宋体" w:eastAsia="宋体" w:hAnsi="宋体" w:cs="Times New Roman" w:hint="eastAsia"/>
          <w:szCs w:val="21"/>
        </w:rPr>
        <w:t xml:space="preserve">    52.3.1提出质疑的供应商应当是参与所质疑项目采购活动的供应商；</w:t>
      </w:r>
      <w:bookmarkStart w:id="74" w:name="_Hlk75374941"/>
      <w:r>
        <w:rPr>
          <w:rFonts w:ascii="宋体" w:eastAsia="宋体" w:hAnsi="宋体" w:cs="Times New Roman" w:hint="eastAsia"/>
          <w:szCs w:val="21"/>
        </w:rPr>
        <w:t>以联合体形式参与的，质疑应当由组成联合体的所有成员共同提出</w:t>
      </w:r>
      <w:bookmarkEnd w:id="74"/>
      <w:r>
        <w:rPr>
          <w:rFonts w:ascii="宋体" w:eastAsia="宋体" w:hAnsi="宋体" w:cs="Times New Roman" w:hint="eastAsia"/>
          <w:szCs w:val="21"/>
        </w:rPr>
        <w:t>；</w:t>
      </w:r>
    </w:p>
    <w:p>
      <w:pPr>
        <w:rPr>
          <w:rFonts w:ascii="宋体" w:eastAsia="宋体" w:hAnsi="宋体" w:cs="Times New Roman"/>
          <w:szCs w:val="21"/>
        </w:rPr>
      </w:pPr>
      <w:r>
        <w:rPr>
          <w:rFonts w:ascii="宋体" w:eastAsia="宋体" w:hAnsi="宋体" w:cs="Times New Roman" w:hint="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eastAsia="宋体" w:hAnsi="宋体" w:cs="Times New Roman"/>
          <w:szCs w:val="21"/>
        </w:rPr>
      </w:pPr>
      <w:r>
        <w:rPr>
          <w:rFonts w:ascii="宋体" w:eastAsia="宋体" w:hAnsi="宋体" w:cs="Times New Roman" w:hint="eastAsia"/>
          <w:szCs w:val="21"/>
        </w:rPr>
        <w:t>52.3.3应提交书面质疑函，质疑函应当包括以下内容：</w:t>
      </w:r>
    </w:p>
    <w:p>
      <w:pPr>
        <w:ind w:firstLine="420"/>
        <w:rPr>
          <w:rFonts w:ascii="宋体" w:eastAsia="宋体" w:hAnsi="宋体" w:cs="Times New Roman"/>
          <w:szCs w:val="21"/>
        </w:rPr>
      </w:pPr>
      <w:r>
        <w:rPr>
          <w:rFonts w:ascii="宋体" w:eastAsia="宋体" w:hAnsi="宋体" w:cs="Times New Roman" w:hint="eastAsia"/>
          <w:szCs w:val="21"/>
        </w:rPr>
        <w:t>（1）供应商的名称（或者姓名）、地址、邮编、邮箱、联系人及联系电话；</w:t>
      </w:r>
    </w:p>
    <w:p>
      <w:pPr>
        <w:ind w:firstLine="420" w:firstLineChars="200"/>
        <w:rPr>
          <w:rFonts w:ascii="宋体" w:eastAsia="宋体" w:hAnsi="宋体" w:cs="Times New Roman"/>
          <w:szCs w:val="21"/>
        </w:rPr>
      </w:pPr>
      <w:r>
        <w:rPr>
          <w:rFonts w:ascii="宋体" w:eastAsia="宋体" w:hAnsi="宋体" w:cs="Times New Roman" w:hint="eastAsia"/>
          <w:szCs w:val="21"/>
        </w:rPr>
        <w:t>（2）质疑项目的名称、编号；</w:t>
      </w:r>
    </w:p>
    <w:p>
      <w:pPr>
        <w:ind w:firstLine="420" w:firstLineChars="200"/>
        <w:rPr>
          <w:rFonts w:ascii="宋体" w:eastAsia="宋体" w:hAnsi="宋体" w:cs="Times New Roman"/>
          <w:szCs w:val="21"/>
        </w:rPr>
      </w:pPr>
      <w:r>
        <w:rPr>
          <w:rFonts w:ascii="宋体" w:eastAsia="宋体" w:hAnsi="宋体" w:cs="Times New Roman" w:hint="eastAsia"/>
          <w:szCs w:val="21"/>
        </w:rPr>
        <w:t>（3）具体、明确的质疑对象、质疑事项和质疑请求；</w:t>
      </w:r>
    </w:p>
    <w:p>
      <w:pPr>
        <w:ind w:firstLine="420" w:firstLineChars="200"/>
        <w:rPr>
          <w:rFonts w:ascii="宋体" w:eastAsia="宋体" w:hAnsi="宋体" w:cs="Times New Roman"/>
          <w:szCs w:val="21"/>
        </w:rPr>
      </w:pPr>
      <w:r>
        <w:rPr>
          <w:rFonts w:ascii="宋体" w:eastAsia="宋体" w:hAnsi="宋体" w:cs="Times New Roman" w:hint="eastAsia"/>
          <w:szCs w:val="21"/>
        </w:rPr>
        <w:t>（4）因质疑事项而受损害的权益；</w:t>
      </w:r>
    </w:p>
    <w:p>
      <w:pPr>
        <w:ind w:firstLine="420" w:firstLineChars="200"/>
        <w:rPr>
          <w:rFonts w:ascii="宋体" w:eastAsia="宋体" w:hAnsi="宋体" w:cs="Times New Roman"/>
          <w:szCs w:val="21"/>
        </w:rPr>
      </w:pPr>
      <w:r>
        <w:rPr>
          <w:rFonts w:ascii="宋体" w:eastAsia="宋体" w:hAnsi="宋体" w:cs="Times New Roman" w:hint="eastAsia"/>
          <w:szCs w:val="21"/>
        </w:rPr>
        <w:t>（5）事实依据；</w:t>
      </w:r>
    </w:p>
    <w:p>
      <w:pPr>
        <w:ind w:firstLine="420" w:firstLineChars="200"/>
        <w:rPr>
          <w:rFonts w:ascii="宋体" w:eastAsia="宋体" w:hAnsi="宋体" w:cs="Times New Roman"/>
          <w:szCs w:val="21"/>
        </w:rPr>
      </w:pPr>
      <w:r>
        <w:rPr>
          <w:rFonts w:ascii="宋体" w:eastAsia="宋体" w:hAnsi="宋体" w:cs="Times New Roman" w:hint="eastAsia"/>
          <w:szCs w:val="21"/>
        </w:rPr>
        <w:t>（6）必要的法律依据；</w:t>
      </w:r>
    </w:p>
    <w:p>
      <w:pPr>
        <w:ind w:firstLine="420" w:firstLineChars="200"/>
        <w:rPr>
          <w:rFonts w:ascii="宋体" w:eastAsia="宋体" w:hAnsi="宋体" w:cs="Times New Roman"/>
          <w:szCs w:val="21"/>
        </w:rPr>
      </w:pPr>
      <w:r>
        <w:rPr>
          <w:rFonts w:ascii="宋体" w:eastAsia="宋体" w:hAnsi="宋体" w:cs="Times New Roman" w:hint="eastAsia"/>
          <w:szCs w:val="21"/>
        </w:rPr>
        <w:t>（7）提出质疑的日期。</w:t>
      </w:r>
    </w:p>
    <w:p>
      <w:pPr>
        <w:ind w:firstLine="420" w:firstLineChars="200"/>
        <w:rPr>
          <w:rFonts w:ascii="宋体" w:eastAsia="宋体" w:hAnsi="宋体" w:cs="Times New Roman"/>
          <w:szCs w:val="21"/>
        </w:rPr>
      </w:pPr>
      <w:r>
        <w:rPr>
          <w:rFonts w:ascii="宋体" w:eastAsia="宋体" w:hAnsi="宋体" w:cs="Times New Roman" w:hint="eastAsia"/>
          <w:szCs w:val="21"/>
        </w:rPr>
        <w:t>供应商为自然人的，应当由本人签字；供应商为法人或者其他组织的，应当由法定代表人（负责人），或者其授权代理人签字或者盖章，并加盖公章。</w:t>
      </w:r>
    </w:p>
    <w:p>
      <w:pPr>
        <w:ind w:firstLine="420" w:firstLineChars="200"/>
        <w:rPr>
          <w:rFonts w:ascii="宋体" w:eastAsia="宋体" w:hAnsi="宋体" w:cs="Times New Roman"/>
          <w:szCs w:val="21"/>
        </w:rPr>
      </w:pPr>
      <w:r>
        <w:rPr>
          <w:rFonts w:ascii="宋体" w:eastAsia="宋体" w:hAnsi="宋体" w:cs="Times New Roman" w:hint="eastAsia"/>
          <w:szCs w:val="21"/>
        </w:rPr>
        <w:t>52.4提交</w:t>
      </w:r>
      <w:r>
        <w:rPr>
          <w:rFonts w:ascii="宋体" w:eastAsia="宋体" w:hAnsi="宋体" w:cs="Times New Roman"/>
          <w:szCs w:val="21"/>
        </w:rPr>
        <w:t>材料</w:t>
      </w:r>
    </w:p>
    <w:p>
      <w:pPr>
        <w:ind w:firstLine="420" w:firstLineChars="200"/>
        <w:rPr>
          <w:rFonts w:ascii="宋体" w:eastAsia="宋体" w:hAnsi="宋体" w:cs="Times New Roman"/>
          <w:szCs w:val="21"/>
        </w:rPr>
      </w:pPr>
      <w:r>
        <w:rPr>
          <w:rFonts w:ascii="宋体" w:eastAsia="宋体" w:hAnsi="宋体" w:cs="Times New Roman"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eastAsia="宋体" w:hAnsi="宋体" w:cs="Times New Roman"/>
          <w:szCs w:val="21"/>
        </w:rPr>
      </w:pPr>
      <w:r>
        <w:rPr>
          <w:rFonts w:ascii="宋体" w:eastAsia="宋体" w:hAnsi="宋体" w:cs="Times New Roman" w:hint="eastAsia"/>
          <w:szCs w:val="21"/>
        </w:rPr>
        <w:t>供应商可以委托代理人进行质疑。</w:t>
      </w:r>
      <w:r>
        <w:rPr>
          <w:rFonts w:ascii="宋体" w:eastAsia="宋体" w:hAnsi="宋体" w:cs="Times New Roman"/>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eastAsia="宋体" w:hAnsi="宋体" w:cs="Times New Roman"/>
          <w:szCs w:val="21"/>
        </w:rPr>
      </w:pPr>
      <w:r>
        <w:rPr>
          <w:rFonts w:ascii="宋体" w:eastAsia="宋体" w:hAnsi="宋体" w:cs="Times New Roman" w:hint="eastAsia"/>
          <w:szCs w:val="21"/>
        </w:rPr>
        <w:t>52.5收文地点受理路径</w:t>
      </w:r>
    </w:p>
    <w:p>
      <w:pPr>
        <w:ind w:firstLine="420" w:firstLineChars="200"/>
        <w:rPr>
          <w:rFonts w:ascii="宋体" w:eastAsia="宋体" w:hAnsi="宋体" w:cs="Times New Roman"/>
          <w:b/>
          <w:bCs/>
          <w:szCs w:val="21"/>
        </w:rPr>
      </w:pPr>
      <w:r>
        <w:rPr>
          <w:rFonts w:ascii="宋体" w:eastAsia="宋体" w:hAnsi="宋体" w:cs="Times New Roman" w:hint="eastAsia"/>
          <w:b/>
          <w:bCs/>
          <w:szCs w:val="21"/>
        </w:rPr>
        <w:t>地址：深圳公共资源交易中心（深圳交易集团有限公司宝安分公司）</w:t>
      </w:r>
      <w:r>
        <w:rPr>
          <w:rFonts w:ascii="宋体" w:eastAsia="宋体" w:hAnsi="宋体" w:cs="Times New Roman" w:hint="eastAsia"/>
          <w:b/>
          <w:bCs/>
          <w:szCs w:val="24"/>
        </w:rPr>
        <w:t>服务大厅（地址：深圳市宝安区宝城湖滨东路40号）</w:t>
      </w:r>
      <w:r>
        <w:rPr>
          <w:rFonts w:ascii="宋体" w:eastAsia="宋体" w:hAnsi="宋体" w:cs="Times New Roman" w:hint="eastAsia"/>
          <w:b/>
          <w:bCs/>
          <w:szCs w:val="21"/>
        </w:rPr>
        <w:t>，质疑咨询电话：0755-</w:t>
      </w:r>
      <w:r>
        <w:rPr>
          <w:rFonts w:ascii="宋体" w:eastAsia="宋体" w:hAnsi="宋体" w:cs="Times New Roman"/>
          <w:b/>
          <w:bCs/>
          <w:szCs w:val="21"/>
        </w:rPr>
        <w:t>27758331</w:t>
      </w:r>
      <w:r>
        <w:rPr>
          <w:rFonts w:ascii="宋体" w:eastAsia="宋体" w:hAnsi="宋体" w:cs="Times New Roman" w:hint="eastAsia"/>
          <w:b/>
          <w:bCs/>
          <w:szCs w:val="21"/>
        </w:rPr>
        <w:t>。</w:t>
      </w:r>
    </w:p>
    <w:p>
      <w:pPr>
        <w:ind w:firstLine="420" w:firstLineChars="200"/>
        <w:rPr>
          <w:rFonts w:ascii="宋体" w:eastAsia="宋体" w:hAnsi="宋体" w:cs="Times New Roman"/>
          <w:szCs w:val="21"/>
        </w:rPr>
      </w:pPr>
      <w:r>
        <w:rPr>
          <w:rFonts w:ascii="宋体" w:eastAsia="宋体" w:hAnsi="宋体" w:cs="Times New Roman" w:hint="eastAsia"/>
          <w:szCs w:val="21"/>
        </w:rPr>
        <w:t>52.6收文办理</w:t>
      </w:r>
      <w:r>
        <w:rPr>
          <w:rFonts w:ascii="宋体" w:eastAsia="宋体" w:hAnsi="宋体" w:cs="Times New Roman"/>
          <w:szCs w:val="21"/>
        </w:rPr>
        <w:t>程序</w:t>
      </w:r>
    </w:p>
    <w:p>
      <w:pPr>
        <w:ind w:firstLine="420" w:firstLineChars="200"/>
        <w:rPr>
          <w:rFonts w:ascii="宋体" w:eastAsia="宋体" w:hAnsi="宋体" w:cs="Times New Roman"/>
          <w:szCs w:val="21"/>
        </w:rPr>
      </w:pPr>
      <w:r>
        <w:rPr>
          <w:rFonts w:ascii="宋体" w:eastAsia="宋体" w:hAnsi="宋体" w:cs="Times New Roman"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eastAsia="仿宋" w:hAnsi="仿宋" w:cs="Times New Roman"/>
          <w:sz w:val="28"/>
          <w:szCs w:val="28"/>
        </w:rPr>
      </w:pPr>
      <w:r>
        <w:rPr>
          <w:rFonts w:ascii="宋体" w:eastAsia="宋体" w:hAnsi="宋体" w:cs="Times New Roman" w:hint="eastAsia"/>
          <w:szCs w:val="21"/>
        </w:rPr>
        <w:t>52.6.2供应商提交的质疑材料不符合质疑条件的，视情况处理：</w:t>
      </w:r>
    </w:p>
    <w:p>
      <w:pPr>
        <w:ind w:firstLine="420" w:firstLineChars="200"/>
        <w:rPr>
          <w:rFonts w:ascii="宋体" w:eastAsia="宋体" w:hAnsi="宋体" w:cs="Times New Roman"/>
          <w:szCs w:val="21"/>
        </w:rPr>
      </w:pPr>
      <w:r>
        <w:rPr>
          <w:rFonts w:ascii="宋体" w:eastAsia="宋体" w:hAnsi="宋体" w:cs="Times New Roman" w:hint="eastAsia"/>
          <w:szCs w:val="21"/>
        </w:rPr>
        <w:t>供应商提交的质疑材料不全或者未按要求签字或者盖章的，政府集中采购机构应当一次性告知供应商需补正的内容和补正期限。</w:t>
      </w:r>
    </w:p>
    <w:p>
      <w:pPr>
        <w:ind w:firstLine="420" w:firstLineChars="200"/>
        <w:rPr>
          <w:rFonts w:ascii="宋体" w:eastAsia="宋体" w:hAnsi="宋体" w:cs="Times New Roman"/>
          <w:szCs w:val="21"/>
        </w:rPr>
      </w:pPr>
      <w:r>
        <w:rPr>
          <w:rFonts w:ascii="宋体" w:eastAsia="宋体" w:hAnsi="宋体" w:cs="Times New Roman" w:hint="eastAsia"/>
          <w:szCs w:val="21"/>
        </w:rPr>
        <w:t>供应商提交的质疑存在下列情形之一的，不予受理：</w:t>
      </w:r>
    </w:p>
    <w:p>
      <w:pPr>
        <w:ind w:firstLine="420" w:firstLineChars="200"/>
        <w:rPr>
          <w:rFonts w:ascii="宋体" w:eastAsia="宋体" w:hAnsi="宋体" w:cs="Times New Roman"/>
          <w:szCs w:val="21"/>
        </w:rPr>
      </w:pPr>
      <w:r>
        <w:rPr>
          <w:rFonts w:ascii="宋体" w:eastAsia="宋体" w:hAnsi="宋体" w:cs="Times New Roman" w:hint="eastAsia"/>
          <w:szCs w:val="21"/>
        </w:rPr>
        <w:t>（1）质疑主体不满足要求的；</w:t>
      </w:r>
    </w:p>
    <w:p>
      <w:pPr>
        <w:ind w:firstLine="420" w:firstLineChars="200"/>
        <w:rPr>
          <w:rFonts w:ascii="宋体" w:eastAsia="宋体" w:hAnsi="宋体" w:cs="Times New Roman"/>
          <w:szCs w:val="21"/>
        </w:rPr>
      </w:pPr>
      <w:r>
        <w:rPr>
          <w:rFonts w:ascii="宋体" w:eastAsia="宋体" w:hAnsi="宋体" w:cs="Times New Roman" w:hint="eastAsia"/>
          <w:szCs w:val="21"/>
        </w:rPr>
        <w:t>（2）供应商自身权益未受到损害的；</w:t>
      </w:r>
    </w:p>
    <w:p>
      <w:pPr>
        <w:ind w:firstLine="420" w:firstLineChars="200"/>
        <w:rPr>
          <w:rFonts w:ascii="宋体" w:eastAsia="宋体" w:hAnsi="宋体" w:cs="Times New Roman"/>
          <w:szCs w:val="21"/>
        </w:rPr>
      </w:pPr>
      <w:r>
        <w:rPr>
          <w:rFonts w:ascii="宋体" w:eastAsia="宋体" w:hAnsi="宋体" w:cs="Times New Roman" w:hint="eastAsia"/>
          <w:szCs w:val="21"/>
        </w:rPr>
        <w:t>（3）供应商未在法定质疑期限内提出质疑的；</w:t>
      </w:r>
    </w:p>
    <w:p>
      <w:pPr>
        <w:ind w:firstLine="420" w:firstLineChars="200"/>
        <w:rPr>
          <w:rFonts w:ascii="宋体" w:eastAsia="宋体" w:hAnsi="宋体" w:cs="Times New Roman"/>
          <w:szCs w:val="21"/>
        </w:rPr>
      </w:pPr>
      <w:r>
        <w:rPr>
          <w:rFonts w:ascii="宋体" w:eastAsia="宋体" w:hAnsi="宋体" w:cs="Times New Roman" w:hint="eastAsia"/>
          <w:szCs w:val="21"/>
        </w:rPr>
        <w:t>（4）质疑材料不全或者未按要求签字或者盖章的情况下，要求补正后，逾期未补正或者补正后仍不符合规定的；</w:t>
      </w:r>
    </w:p>
    <w:p>
      <w:pPr>
        <w:ind w:firstLine="420" w:firstLineChars="200"/>
        <w:rPr>
          <w:rFonts w:ascii="宋体" w:eastAsia="宋体" w:hAnsi="宋体" w:cs="Times New Roman"/>
          <w:szCs w:val="21"/>
        </w:rPr>
      </w:pPr>
      <w:r>
        <w:rPr>
          <w:rFonts w:ascii="宋体" w:eastAsia="宋体" w:hAnsi="宋体" w:cs="Times New Roman" w:hint="eastAsia"/>
          <w:szCs w:val="21"/>
        </w:rPr>
        <w:t>（5）其他不符合受理条件情形的。</w:t>
      </w:r>
    </w:p>
    <w:p>
      <w:pPr>
        <w:ind w:firstLine="420" w:firstLineChars="200"/>
        <w:rPr>
          <w:rFonts w:ascii="宋体" w:eastAsia="宋体" w:hAnsi="宋体" w:cs="Times New Roman"/>
          <w:szCs w:val="21"/>
        </w:rPr>
      </w:pPr>
      <w:r>
        <w:rPr>
          <w:rFonts w:ascii="宋体" w:eastAsia="宋体" w:hAnsi="宋体" w:cs="Times New Roman" w:hint="eastAsia"/>
          <w:szCs w:val="21"/>
        </w:rPr>
        <w:t>质疑事项不予受理的，政府集中采购机构应当向供应商出具不符合质疑条件告知书。</w:t>
      </w:r>
    </w:p>
    <w:p>
      <w:pPr>
        <w:rPr>
          <w:rFonts w:ascii="宋体" w:eastAsia="宋体" w:hAnsi="宋体" w:cs="Times New Roman"/>
          <w:szCs w:val="21"/>
        </w:rPr>
      </w:pPr>
      <w:r>
        <w:rPr>
          <w:rFonts w:ascii="宋体" w:eastAsia="宋体" w:hAnsi="宋体" w:cs="Times New Roman" w:hint="eastAsia"/>
          <w:szCs w:val="21"/>
        </w:rPr>
        <w:t xml:space="preserve">  52.7质疑答复时限</w:t>
      </w:r>
    </w:p>
    <w:p>
      <w:pPr>
        <w:rPr>
          <w:rFonts w:ascii="宋体" w:eastAsia="宋体" w:hAnsi="宋体" w:cs="Times New Roman"/>
          <w:szCs w:val="21"/>
        </w:rPr>
      </w:pPr>
      <w:r>
        <w:rPr>
          <w:rFonts w:ascii="宋体" w:eastAsia="宋体" w:hAnsi="宋体" w:cs="Times New Roman" w:hint="eastAsia"/>
          <w:szCs w:val="21"/>
        </w:rPr>
        <w:t xml:space="preserve">    自收文之日起七个工作日内。</w:t>
      </w:r>
    </w:p>
    <w:p>
      <w:pPr>
        <w:rPr>
          <w:rFonts w:ascii="宋体" w:eastAsia="宋体" w:hAnsi="宋体" w:cs="Times New Roman"/>
          <w:szCs w:val="21"/>
        </w:rPr>
      </w:pPr>
      <w:r>
        <w:rPr>
          <w:rFonts w:ascii="宋体" w:eastAsia="宋体" w:hAnsi="宋体" w:cs="Times New Roman" w:hint="eastAsia"/>
          <w:szCs w:val="21"/>
        </w:rPr>
        <w:t xml:space="preserve">    52.8投诉</w:t>
      </w:r>
    </w:p>
    <w:p>
      <w:pPr>
        <w:rPr>
          <w:rFonts w:ascii="宋体" w:eastAsia="宋体" w:hAnsi="宋体" w:cs="Times New Roman"/>
          <w:szCs w:val="21"/>
        </w:rPr>
      </w:pPr>
      <w:r>
        <w:rPr>
          <w:rFonts w:ascii="宋体" w:eastAsia="宋体" w:hAnsi="宋体" w:cs="Times New Roman" w:hint="eastAsia"/>
          <w:szCs w:val="21"/>
        </w:rPr>
        <w:t xml:space="preserve">    对质疑答复不满意或者未在规定时间内答复的，提出质疑的供应商可以在答复期满后15个工作日内向同级财政部门投诉。</w:t>
      </w:r>
    </w:p>
    <w:p>
      <w:pPr>
        <w:rPr>
          <w:rFonts w:ascii="黑体" w:eastAsia="黑体" w:hAnsi="宋体" w:cs="Times New Roman"/>
          <w:sz w:val="24"/>
          <w:szCs w:val="24"/>
        </w:rPr>
      </w:pPr>
      <w:r>
        <w:rPr>
          <w:rFonts w:ascii="黑体" w:eastAsia="黑体" w:hAnsi="宋体" w:cs="Times New Roman" w:hint="eastAsia"/>
          <w:sz w:val="24"/>
          <w:szCs w:val="24"/>
        </w:rPr>
        <w:t>53. 质疑后续处理</w:t>
      </w:r>
    </w:p>
    <w:p>
      <w:pPr>
        <w:rPr>
          <w:rFonts w:ascii="宋体" w:eastAsia="宋体" w:hAnsi="宋体" w:cs="Times New Roman"/>
          <w:szCs w:val="21"/>
        </w:rPr>
      </w:pPr>
      <w:r>
        <w:rPr>
          <w:rFonts w:ascii="宋体" w:eastAsia="宋体" w:hAnsi="宋体" w:cs="Times New Roman" w:hint="eastAsia"/>
          <w:szCs w:val="21"/>
        </w:rPr>
        <w:t xml:space="preserve">    53.1供应商质疑不成立，或者成立但未对中标、成交结果构成影响的，继续开展采购活动。</w:t>
      </w:r>
    </w:p>
    <w:p>
      <w:pPr>
        <w:rPr>
          <w:rFonts w:ascii="宋体" w:eastAsia="宋体" w:hAnsi="宋体" w:cs="Times New Roman"/>
          <w:szCs w:val="21"/>
        </w:rPr>
      </w:pPr>
      <w:r>
        <w:rPr>
          <w:rFonts w:ascii="宋体" w:eastAsia="宋体" w:hAnsi="宋体" w:cs="Times New Roman"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jc w:val="center"/>
        <w:rPr>
          <w:rFonts w:ascii="Times New Roman" w:eastAsia="宋体" w:hAnsi="Times New Roman" w:cs="Times New Roman"/>
          <w:szCs w:val="24"/>
        </w:rPr>
      </w:pPr>
      <w:r>
        <w:rPr>
          <w:rFonts w:ascii="Times New Roman" w:eastAsia="宋体" w:hAnsi="Times New Roman" w:cs="Times New Roman"/>
          <w:szCs w:val="24"/>
        </w:rPr>
        <w:t>---- END ----</w:t>
      </w:r>
      <w:bookmarkEnd w:id="73"/>
    </w:p>
    <w:p>
      <w:pPr>
        <w:rPr>
          <w:b/>
          <w:color w:val="FF0000"/>
          <w:sz w:val="52"/>
          <w:szCs w:val="52"/>
        </w:rPr>
      </w:pPr>
    </w:p>
    <w:p>
      <w:pPr>
        <w:rPr>
          <w:b/>
          <w:color w:val="FF0000"/>
          <w:sz w:val="52"/>
          <w:szCs w:val="52"/>
        </w:rPr>
      </w:pPr>
    </w:p>
    <w:sectPr>
      <w:headerReference w:type="even" r:id="rId10"/>
      <w:headerReference w:type="default" r:id="rId11"/>
      <w:footerReference w:type="even" r:id="rId12"/>
      <w:footerReference w:type="default" r:id="rId13"/>
      <w:headerReference w:type="first" r:id="rId14"/>
      <w:footerReference w:type="first" r:id="rId15"/>
      <w:pgSz w:w="11906" w:h="16838"/>
      <w:pgMar w:top="1440" w:right="1417" w:bottom="1440" w:left="1417" w:header="851" w:footer="992" w:gutter="0"/>
      <w:pgNumType w:start="1"/>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spacing w:after="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22060"/>
      <w:docPartObj>
        <w:docPartGallery w:val="autotext"/>
      </w:docPartObj>
    </w:sdtPr>
    <w:sdtContent>
      <w:p>
        <w:pPr>
          <w:pStyle w:val="Footer"/>
          <w:jc w:val="center"/>
        </w:pPr>
        <w:r>
          <w:fldChar w:fldCharType="begin"/>
        </w:r>
        <w:r>
          <w:instrText xml:space="preserve"> PAGE   \* MERGEFORMAT </w:instrText>
        </w:r>
        <w:r>
          <w:fldChar w:fldCharType="separate"/>
        </w:r>
        <w:r>
          <w:rPr>
            <w:lang w:val="zh-CN"/>
          </w:rPr>
          <w:t>44</w:t>
        </w:r>
        <w:r>
          <w:rPr>
            <w:lang w:val="zh-CN"/>
          </w:rPr>
          <w:fldChar w:fldCharType="end"/>
        </w:r>
      </w:p>
    </w:sdtContent>
  </w:sdt>
  <w:p>
    <w:pPr>
      <w:pStyle w:val="Footer"/>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spacing w:after="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2B14AB"/>
    <w:multiLevelType w:val="multilevel"/>
    <w:tmpl w:val="042B14AB"/>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FA315BC"/>
    <w:multiLevelType w:val="multilevel"/>
    <w:tmpl w:val="0FA315BC"/>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27103924"/>
    <w:multiLevelType w:val="multilevel"/>
    <w:tmpl w:val="27103924"/>
    <w:lvl w:ilvl="0">
      <w:start w:val="1"/>
      <w:numFmt w:val="japaneseCounting"/>
      <w:lvlText w:val="第%1条"/>
      <w:lvlJc w:val="left"/>
      <w:pPr>
        <w:ind w:left="975" w:hanging="975"/>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28E62CBB"/>
    <w:multiLevelType w:val="multilevel"/>
    <w:tmpl w:val="28E62CBB"/>
    <w:lvl w:ilvl="0">
      <w:start w:val="1"/>
      <w:numFmt w:val="decimal"/>
      <w:lvlText w:val="%1."/>
      <w:lvlJc w:val="left"/>
      <w:pPr>
        <w:tabs>
          <w:tab w:val="left" w:pos="885"/>
        </w:tabs>
        <w:ind w:left="241" w:firstLine="284"/>
      </w:pPr>
      <w:rPr>
        <w:rFonts w:ascii="Arial" w:eastAsia="宋体" w:hAnsi="Arial" w:hint="default"/>
        <w:b w:val="0"/>
        <w:i w:val="0"/>
        <w:sz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nsid w:val="58C25802"/>
    <w:multiLevelType w:val="multilevel"/>
    <w:tmpl w:val="58C25802"/>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626808CC"/>
    <w:multiLevelType w:val="multilevel"/>
    <w:tmpl w:val="626808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5FF2A85"/>
    <w:multiLevelType w:val="multilevel"/>
    <w:tmpl w:val="65FF2A85"/>
    <w:lvl w:ilvl="0">
      <w:start w:val="1"/>
      <w:numFmt w:val="decimal"/>
      <w:lvlText w:val="%1)"/>
      <w:lvlJc w:val="left"/>
      <w:pPr>
        <w:tabs>
          <w:tab w:val="left" w:pos="1470"/>
        </w:tabs>
        <w:ind w:left="1470" w:hanging="420"/>
      </w:pPr>
      <w:rPr>
        <w:rFonts w:hint="eastAsia"/>
        <w:b w:val="0"/>
      </w:rPr>
    </w:lvl>
    <w:lvl w:ilvl="1">
      <w:start w:val="4"/>
      <w:numFmt w:val="japaneseCounting"/>
      <w:lvlText w:val="%2、"/>
      <w:lvlJc w:val="left"/>
      <w:pPr>
        <w:tabs>
          <w:tab w:val="left" w:pos="1140"/>
        </w:tabs>
        <w:ind w:left="1140" w:hanging="720"/>
      </w:pPr>
      <w:rPr>
        <w:rFonts w:hint="default"/>
      </w:rPr>
    </w:lvl>
    <w:lvl w:ilvl="2">
      <w:start w:val="1"/>
      <w:numFmt w:val="decimal"/>
      <w:lvlText w:val="%3、"/>
      <w:lvlJc w:val="left"/>
      <w:pPr>
        <w:tabs>
          <w:tab w:val="left" w:pos="360"/>
        </w:tabs>
        <w:ind w:left="360" w:hanging="360"/>
      </w:pPr>
      <w:rPr>
        <w:rFonts w:hint="default"/>
      </w:rPr>
    </w:lvl>
    <w:lvl w:ilvl="3">
      <w:start w:val="6"/>
      <w:numFmt w:val="japaneseCounting"/>
      <w:lvlText w:val="第%4章"/>
      <w:lvlJc w:val="left"/>
      <w:pPr>
        <w:tabs>
          <w:tab w:val="left" w:pos="2400"/>
        </w:tabs>
        <w:ind w:left="2400" w:hanging="114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6FD80BC0"/>
    <w:multiLevelType w:val="multilevel"/>
    <w:tmpl w:val="6FD80BC0"/>
    <w:lvl w:ilvl="0">
      <w:start w:val="1"/>
      <w:numFmt w:val="decimal"/>
      <w:lvlText w:val="%1)"/>
      <w:lvlJc w:val="left"/>
      <w:pPr>
        <w:tabs>
          <w:tab w:val="left" w:pos="1470"/>
        </w:tabs>
        <w:ind w:left="1470" w:hanging="420"/>
      </w:pPr>
      <w:rPr>
        <w:rFonts w:asciiTheme="majorEastAsia" w:eastAsiaTheme="majorEastAsia" w:hAnsiTheme="majorEastAsia" w:hint="eastAsia"/>
        <w:sz w:val="28"/>
        <w:szCs w:val="28"/>
      </w:rPr>
    </w:lvl>
    <w:lvl w:ilvl="1">
      <w:start w:val="4"/>
      <w:numFmt w:val="japaneseCounting"/>
      <w:lvlText w:val="%2、"/>
      <w:lvlJc w:val="left"/>
      <w:pPr>
        <w:tabs>
          <w:tab w:val="left" w:pos="1140"/>
        </w:tabs>
        <w:ind w:left="1140" w:hanging="720"/>
      </w:pPr>
      <w:rPr>
        <w:rFonts w:hint="default"/>
      </w:rPr>
    </w:lvl>
    <w:lvl w:ilvl="2">
      <w:start w:val="1"/>
      <w:numFmt w:val="decimal"/>
      <w:lvlText w:val="%3、"/>
      <w:lvlJc w:val="left"/>
      <w:pPr>
        <w:tabs>
          <w:tab w:val="left" w:pos="360"/>
        </w:tabs>
        <w:ind w:left="360" w:hanging="360"/>
      </w:pPr>
      <w:rPr>
        <w:rFonts w:hint="default"/>
      </w:rPr>
    </w:lvl>
    <w:lvl w:ilvl="3">
      <w:start w:val="6"/>
      <w:numFmt w:val="japaneseCounting"/>
      <w:lvlText w:val="第%4章"/>
      <w:lvlJc w:val="left"/>
      <w:pPr>
        <w:tabs>
          <w:tab w:val="left" w:pos="2400"/>
        </w:tabs>
        <w:ind w:left="2400" w:hanging="114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3"/>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trackRevisions/>
  <w:doNotTrackMove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footnote text"/>
    <w:lsdException w:name="annotation text" w:qFormat="1"/>
    <w:lsdException w:name="header"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qFormat="1"/>
    <w:lsdException w:name="Plain Text"/>
    <w:lsdException w:name="E-mail Signature"/>
    <w:lsdException w:name="Normal (Web)" w:semiHidden="0" w:unhideWhenUsed="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NormalIndent">
    <w:name w:val="Normal Indent"/>
    <w:basedOn w:val="Normal"/>
    <w:uiPriority w:val="99"/>
    <w:unhideWhenUsed/>
    <w:pPr>
      <w:ind w:firstLine="420" w:firstLineChars="200"/>
    </w:pPr>
    <w:rPr>
      <w:rFonts w:ascii="Times New Roman" w:eastAsia="宋体" w:hAnsi="Times New Roman" w:cs="Times New Roman"/>
      <w:szCs w:val="21"/>
    </w:rPr>
  </w:style>
  <w:style w:type="paragraph" w:styleId="DocumentMap">
    <w:name w:val="Document Map"/>
    <w:basedOn w:val="Normal"/>
    <w:uiPriority w:val="99"/>
    <w:semiHidden/>
    <w:unhideWhenUsed/>
    <w:qFormat/>
    <w:rPr>
      <w:rFonts w:ascii="宋体" w:eastAsia="宋体"/>
      <w:sz w:val="18"/>
      <w:szCs w:val="18"/>
    </w:rPr>
  </w:style>
  <w:style w:type="paragraph" w:styleId="CommentText">
    <w:name w:val="annotation text"/>
    <w:basedOn w:val="Normal"/>
    <w:uiPriority w:val="99"/>
    <w:semiHidden/>
    <w:unhideWhenUsed/>
    <w:qFormat/>
    <w:pPr>
      <w:jc w:val="left"/>
    </w:pPr>
  </w:style>
  <w:style w:type="paragraph" w:styleId="BalloonText">
    <w:name w:val="Balloon Text"/>
    <w:basedOn w:val="Normal"/>
    <w:uiPriority w:val="99"/>
    <w:semiHidden/>
    <w:unhideWhenUsed/>
    <w:qFormat/>
    <w:rPr>
      <w:sz w:val="18"/>
      <w:szCs w:val="18"/>
    </w:rPr>
  </w:style>
  <w:style w:type="paragraph" w:styleId="NormalWeb">
    <w:name w:val="Normal (Web)"/>
    <w:basedOn w:val="Normal"/>
    <w:uiPriority w:val="99"/>
    <w:qFormat/>
    <w:pPr>
      <w:widowControl/>
      <w:spacing w:before="100" w:beforeAutospacing="1" w:afterAutospacing="1"/>
      <w:jc w:val="left"/>
    </w:pPr>
    <w:rPr>
      <w:rFonts w:ascii="宋体" w:hAnsi="宋体"/>
      <w:sz w:val="24"/>
      <w:szCs w:val="24"/>
    </w:rPr>
  </w:style>
  <w:style w:type="table" w:styleId="TableGrid">
    <w:name w:val="Table Grid"/>
    <w:basedOn w:val="TableNormal"/>
    <w:tblPr>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iPriority w:val="99"/>
    <w:semiHidden/>
    <w:unhideWhenUsed/>
    <w:qFormat/>
    <w:rPr>
      <w:sz w:val="21"/>
      <w:szCs w:val="21"/>
    </w:rPr>
  </w:style>
  <w:style w:type="paragraph" w:customStyle="1" w:styleId="Heading1">
    <w:name w:val="Heading 1"/>
    <w:basedOn w:val="Normal"/>
    <w:next w:val="Normal"/>
    <w:link w:val="1Char"/>
    <w:qFormat/>
    <w:pPr>
      <w:keepNext/>
      <w:keepLines/>
      <w:spacing w:before="340" w:afterLines="25" w:line="578" w:lineRule="auto"/>
      <w:outlineLvl w:val="0"/>
    </w:pPr>
    <w:rPr>
      <w:rFonts w:ascii="Arial" w:eastAsia="宋体" w:hAnsi="Arial" w:cs="Times New Roman"/>
      <w:b/>
      <w:bCs/>
      <w:kern w:val="44"/>
      <w:sz w:val="44"/>
      <w:szCs w:val="44"/>
    </w:rPr>
  </w:style>
  <w:style w:type="paragraph" w:customStyle="1" w:styleId="Heading2">
    <w:name w:val="Heading 2"/>
    <w:basedOn w:val="Normal"/>
    <w:next w:val="Normal"/>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customStyle="1" w:styleId="Footer">
    <w:name w:val="Footer"/>
    <w:basedOn w:val="Normal"/>
    <w:uiPriority w:val="99"/>
    <w:unhideWhenUsed/>
    <w:qFormat/>
    <w:pPr>
      <w:tabs>
        <w:tab w:val="center" w:pos="4153"/>
        <w:tab w:val="right" w:pos="8306"/>
      </w:tabs>
      <w:snapToGrid w:val="0"/>
      <w:jc w:val="left"/>
    </w:pPr>
    <w:rPr>
      <w:sz w:val="18"/>
      <w:szCs w:val="18"/>
    </w:rPr>
  </w:style>
  <w:style w:type="paragraph" w:customStyle="1" w:styleId="Header">
    <w:name w:val="Header"/>
    <w:basedOn w:val="Normal"/>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uiPriority w:val="99"/>
    <w:semiHidden/>
    <w:qFormat/>
    <w:rPr>
      <w:sz w:val="18"/>
      <w:szCs w:val="18"/>
    </w:rPr>
  </w:style>
  <w:style w:type="character" w:customStyle="1" w:styleId="Char0">
    <w:name w:val="页脚 Char"/>
    <w:basedOn w:val="DefaultParagraphFont"/>
    <w:uiPriority w:val="99"/>
    <w:qFormat/>
    <w:rPr>
      <w:sz w:val="18"/>
      <w:szCs w:val="18"/>
    </w:rPr>
  </w:style>
  <w:style w:type="character" w:customStyle="1" w:styleId="Char1">
    <w:name w:val="批注框文本 Char"/>
    <w:basedOn w:val="DefaultParagraphFont"/>
    <w:uiPriority w:val="99"/>
    <w:semiHidden/>
    <w:qFormat/>
    <w:rPr>
      <w:sz w:val="18"/>
      <w:szCs w:val="18"/>
    </w:rPr>
  </w:style>
  <w:style w:type="character" w:customStyle="1" w:styleId="Char2">
    <w:name w:val="普通(网站) Char"/>
    <w:uiPriority w:val="99"/>
    <w:qFormat/>
    <w:rPr>
      <w:rFonts w:ascii="宋体" w:hAnsi="宋体"/>
      <w:sz w:val="24"/>
      <w:szCs w:val="24"/>
    </w:rPr>
  </w:style>
  <w:style w:type="character" w:customStyle="1" w:styleId="1Char">
    <w:name w:val="标题 1 Char"/>
    <w:basedOn w:val="DefaultParagraphFont"/>
    <w:link w:val="Heading1"/>
    <w:qFormat/>
    <w:rPr>
      <w:rFonts w:ascii="Arial" w:eastAsia="宋体" w:hAnsi="Arial" w:cs="Times New Roman"/>
      <w:b/>
      <w:bCs/>
      <w:kern w:val="44"/>
      <w:sz w:val="44"/>
      <w:szCs w:val="44"/>
    </w:rPr>
  </w:style>
  <w:style w:type="paragraph" w:styleId="ListParagraph">
    <w:name w:val="List Paragraph"/>
    <w:basedOn w:val="Normal"/>
    <w:uiPriority w:val="99"/>
    <w:qFormat/>
    <w:pPr>
      <w:ind w:firstLine="420" w:firstLineChars="200"/>
    </w:pPr>
  </w:style>
  <w:style w:type="character" w:customStyle="1" w:styleId="Char3">
    <w:name w:val="文档结构图 Char"/>
    <w:basedOn w:val="DefaultParagraphFont"/>
    <w:uiPriority w:val="99"/>
    <w:semiHidden/>
    <w:qFormat/>
    <w:rPr>
      <w:rFonts w:ascii="宋体" w:eastAsia="宋体"/>
      <w:sz w:val="18"/>
      <w:szCs w:val="18"/>
    </w:rPr>
  </w:style>
  <w:style w:type="character" w:customStyle="1" w:styleId="2Char">
    <w:name w:val="标题 2 Char"/>
    <w:basedOn w:val="DefaultParagraphFont"/>
    <w:uiPriority w:val="9"/>
    <w:semiHidden/>
    <w:rPr>
      <w:rFonts w:asciiTheme="majorHAnsi" w:eastAsiaTheme="majorEastAsia" w:hAnsiTheme="majorHAnsi" w:cstheme="majorBidi"/>
      <w:b/>
      <w:bCs/>
      <w:sz w:val="32"/>
      <w:szCs w:val="32"/>
    </w:rPr>
  </w:style>
  <w:style w:type="character" w:customStyle="1" w:styleId="Char4">
    <w:name w:val="批注文字 Char"/>
    <w:basedOn w:val="DefaultParagraphFont"/>
    <w:uiPriority w:val="99"/>
    <w:semiHidden/>
  </w:style>
  <w:style w:type="character" w:customStyle="1" w:styleId="3Char">
    <w:name w:val="标题 3 Char"/>
    <w:qFormat/>
    <w:rPr>
      <w:rFonts w:ascii="黑体" w:eastAsia="黑体"/>
      <w:bCs/>
      <w:sz w:val="30"/>
    </w:rPr>
  </w:style>
  <w:style w:type="character" w:customStyle="1" w:styleId="15">
    <w:name w:val="15"/>
    <w:basedOn w:val="DefaultParagraphFont"/>
    <w:rPr>
      <w:rFonts w:ascii="Times New Roman" w:hAnsi="Times New Roman" w:cs="Times New Roman" w:hint="default"/>
      <w:sz w:val="21"/>
      <w:szCs w:val="21"/>
    </w:rPr>
  </w:style>
  <w:style w:type="paragraph" w:customStyle="1" w:styleId="msolistparagraph">
    <w:name w:val="msolistparagraph"/>
    <w:basedOn w:val="Normal"/>
    <w:pPr>
      <w:ind w:firstLine="420" w:firstLineChars="200"/>
    </w:pPr>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CFE91CA4ECE649769A50C56CCE24D2C7</vt:lpwstr>
  </property>
</Properties>
</file>

<file path=customXml/item2.xml><?xml version="1.0" encoding="utf-8"?>
<Properties xmlns="http://schemas.openxmlformats.org/officeDocument/2006/extended-properties" xmlns:vt="http://schemas.openxmlformats.org/officeDocument/2006/docPropsVTypes">
  <Template>Normal</Template>
  <TotalTime>298</TotalTime>
  <Pages>48</Pages>
  <Words>6054</Words>
  <Characters>34512</Characters>
  <Application>Microsoft Office Word</Application>
  <DocSecurity>0</DocSecurity>
  <Lines>287</Lines>
  <Paragraphs>80</Paragraphs>
  <ScaleCrop>false</ScaleCrop>
  <Company>Microsoft</Company>
  <LinksUpToDate>false</LinksUpToDate>
  <CharactersWithSpaces>40486</CharactersWithSpaces>
  <SharedDoc>false</SharedDoc>
  <HyperlinksChanged>false</HyperlinksChanged>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win7-1</dc:creator>
  <cp:lastModifiedBy>Lenovo</cp:lastModifiedBy>
  <cp:revision>150</cp:revision>
  <cp:lastPrinted>2021-01-15T01:17:00Z</cp:lastPrinted>
  <dcterms:created xsi:type="dcterms:W3CDTF">2021-03-03T00:56:00Z</dcterms:created>
  <dcterms:modified xsi:type="dcterms:W3CDTF">2023-09-04T03:40:00Z</dcterms:modified>
</cp:coreProperties>
</file>

<file path=customXml/itemProps1.xml><?xml version="1.0" encoding="utf-8"?>
<ds:datastoreItem xmlns:ds="http://schemas.openxmlformats.org/officeDocument/2006/customXml" ds:itemID="{37975751-8360-42ED-962A-87D361E9F8B6}">
  <ds:schemaRefs/>
</ds:datastoreItem>
</file>

<file path=customXml/itemProps2.xml><?xml version="1.0" encoding="utf-8"?>
<ds:datastoreItem xmlns:ds="http://schemas.openxmlformats.org/officeDocument/2006/customXml" ds:itemID="{3E201D3D-D9AE-416C-B50B-C5704CF34108}">
  <ds:schemaRefs/>
</ds:datastoreItem>
</file>

<file path=customXml/itemProps3.xml><?xml version="1.0" encoding="utf-8"?>
<ds:datastoreItem xmlns:ds="http://schemas.openxmlformats.org/officeDocument/2006/customXml" ds:itemID="{5E01C0E1-F472-40C2-A5A2-0280336E6294}">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44</Pages>
  <Words>35756</Words>
  <Characters>37491</Characters>
  <Application>Microsoft Office Word</Application>
  <DocSecurity>0</DocSecurity>
  <Lines>279</Lines>
  <Paragraphs>78</Paragraphs>
  <ScaleCrop>false</ScaleCrop>
  <Company>Microsoft</Company>
  <LinksUpToDate>false</LinksUpToDate>
  <CharactersWithSpaces>38010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win7-1</dc:creator>
  <cp:lastModifiedBy>Ls</cp:lastModifiedBy>
  <cp:revision>215</cp:revision>
  <cp:lastPrinted>2021-01-15T01:17:00Z</cp:lastPrinted>
  <dcterms:created xsi:type="dcterms:W3CDTF">2021-03-03T00:56:00Z</dcterms:created>
  <dcterms:modified xsi:type="dcterms:W3CDTF">2023-09-11T02:10:50Z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75E3B4AC0FB34DAB9798A6946C1BB0AF_13</vt:lpwstr>
  </property>
  <property fmtid="{D5CDD505-2E9C-101B-9397-08002B2CF9AE}" pid="3" name="KSOProductBuildVer">
    <vt:lpwstr>2052-11.1.0.14309</vt:lpwstr>
  </property>
</Properties>
</file>